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footer7.xml" ContentType="application/vnd.openxmlformats-officedocument.wordprocessingml.footer+xml"/>
  <Override PartName="/word/footer16.xml" ContentType="application/vnd.openxmlformats-officedocument.wordprocessingml.foot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header17.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Председатель</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 xml:space="preserve">__________________ </w:t>
      </w:r>
    </w:p>
    <w:p>
      <w:pPr>
        <w:pStyle w:val="Normal"/>
        <w:spacing w:before="0" w:after="0"/>
        <w:jc w:val="right"/>
        <w:rPr>
          <w:b/>
          <w:sz w:val="20"/>
          <w:szCs w:val="22"/>
        </w:rPr>
      </w:pPr>
      <w:r>
        <w:rPr>
          <w:b/>
          <w:sz w:val="24"/>
        </w:rPr>
        <w:t>«06» марта2025 год</w:t>
      </w:r>
      <w:r>
        <w:rPr>
          <w:b/>
          <w:sz w:val="20"/>
          <w:szCs w:val="22"/>
        </w:rPr>
        <w:t xml:space="preserve"> </w:t>
      </w:r>
    </w:p>
    <w:p>
      <w:pPr>
        <w:pStyle w:val="Normal"/>
        <w:spacing w:before="0" w:after="0"/>
        <w:jc w:val="right"/>
        <w:rPr>
          <w:b/>
          <w:sz w:val="20"/>
          <w:szCs w:val="22"/>
        </w:rPr>
      </w:pPr>
      <w:r>
        <w:rPr>
          <w:b/>
          <w:sz w:val="20"/>
          <w:szCs w:val="22"/>
        </w:rPr>
        <w:t xml:space="preserve"> </w:t>
      </w:r>
    </w:p>
    <w:p>
      <w:pPr>
        <w:pStyle w:val="Style26"/>
        <w:rPr/>
      </w:pPr>
      <w:r>
        <w:rPr/>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ind w:left="0" w:hanging="0"/>
        <w:jc w:val="center"/>
        <w:outlineLvl w:val="2"/>
        <w:rPr>
          <w:b/>
          <w:bCs/>
          <w:caps/>
        </w:rPr>
      </w:pPr>
      <w:r>
        <w:rPr>
          <w:b/>
          <w:bCs/>
          <w:caps/>
        </w:rPr>
        <w:t>Документация о закупке</w:t>
      </w:r>
    </w:p>
    <w:p>
      <w:pPr>
        <w:pStyle w:val="Style26"/>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работ</w:t>
      </w:r>
      <w:r>
        <w:rPr>
          <w:b/>
          <w:bCs/>
          <w:shd w:fill="auto" w:val="clear"/>
        </w:rPr>
        <w:t> </w:t>
      </w:r>
      <w:r>
        <w:rPr>
          <w:rStyle w:val="Style8"/>
          <w:b/>
          <w:bCs/>
          <w:i/>
          <w:iCs/>
          <w:shd w:fill="auto" w:val="clear"/>
        </w:rPr>
        <w:t>ОКПД2 43.21.10 Мероприятия по подключению новых потребителей для нужд филиала "Хабаровские электрические сети" на территории СП «ЦЭС» СРЭС</w:t>
      </w:r>
    </w:p>
    <w:p>
      <w:pPr>
        <w:pStyle w:val="Style26"/>
        <w:keepNext w:val="true"/>
        <w:spacing w:before="240" w:after="0"/>
        <w:jc w:val="center"/>
        <w:rPr/>
      </w:pPr>
      <w:r>
        <w:rPr/>
        <w:t>(Лот №</w:t>
      </w:r>
      <w:r>
        <w:rPr>
          <w:i w:val="false"/>
          <w:iCs w:val="false"/>
          <w:shd w:fill="auto" w:val="clear"/>
        </w:rPr>
        <w:t> </w:t>
      </w:r>
      <w:r>
        <w:rPr>
          <w:rStyle w:val="Style8"/>
          <w:i w:val="false"/>
          <w:iCs w:val="false"/>
          <w:shd w:fill="auto" w:val="clear"/>
        </w:rPr>
        <w:t>93101-КС ПИР СМР-2025-ДРСК-ХЭС</w:t>
      </w:r>
      <w:r>
        <w:rPr>
          <w:i w:val="false"/>
          <w:iCs w:val="false"/>
          <w:shd w:fill="auto" w:val="clear"/>
        </w:rPr>
        <w:t>)</w:t>
      </w:r>
    </w:p>
    <w:p>
      <w:pPr>
        <w:pStyle w:val="Style26"/>
        <w:keepNext w:val="true"/>
        <w:rPr/>
      </w:pPr>
      <w:r>
        <w:rPr/>
      </w:r>
      <w:r>
        <w:br w:type="page"/>
      </w:r>
    </w:p>
    <w:p>
      <w:pPr>
        <w:pStyle w:val="Style25"/>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Подраздел,2,[РГ] Подраздел,2,[РГ] Подраздел,2,[РГ] Подраздел,2,[РГ] Подраздел,2,[РГ] Пункт,3,[РГ] Пункт,3,[РГ] Пункт,3,[РГ] Пункт,3,[РГ] Подпункт,4,[РГ] Подпункт,4,[РГ] Подпункт,4,[РГ] Подпункт,4,[РГ] Перечисление,5,[РГ] Перечисление,5,[РГ] Перечисление,5,[РГ] Перечисление,5" \h</w:instrText>
          </w:r>
          <w:r>
            <w:rPr>
              <w:webHidden/>
              <w:rStyle w:val="Style15"/>
              <w:vanish w:val="false"/>
            </w:rPr>
            <w:fldChar w:fldCharType="separate"/>
          </w:r>
          <w:hyperlink w:anchor="__RefHeading___Toc192495_1558056896">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5"/>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5"/>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5"/>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5"/>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5"/>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5"/>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5"/>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5"/>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5"/>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5"/>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5"/>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5"/>
                <w:vanish w:val="false"/>
              </w:rPr>
              <w:t>3.2</w:t>
              <w:tab/>
              <w:t>Коллективные участники</w:t>
              <w:tab/>
              <w:t>21</w:t>
            </w:r>
          </w:hyperlink>
        </w:p>
        <w:p>
          <w:pPr>
            <w:pStyle w:val="TOC2"/>
            <w:tabs>
              <w:tab w:val="clear" w:pos="9923"/>
              <w:tab w:val="left" w:pos="851" w:leader="none"/>
              <w:tab w:val="right" w:pos="9922" w:leader="dot"/>
            </w:tabs>
            <w:rPr/>
          </w:pPr>
          <w:hyperlink w:anchor="__RefHeading___Toc192523_1558056896">
            <w:r>
              <w:rPr>
                <w:webHidden/>
                <w:rStyle w:val="Style15"/>
                <w:vanish w:val="false"/>
              </w:rPr>
              <w:t>3.3</w:t>
              <w:tab/>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5"/>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5"/>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5"/>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5"/>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5"/>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5"/>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5"/>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5"/>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5"/>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5"/>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5"/>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5"/>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5"/>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5"/>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5"/>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5"/>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5"/>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5"/>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5"/>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5"/>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5"/>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5"/>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5"/>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5"/>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5"/>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5"/>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5"/>
                <w:vanish w:val="false"/>
              </w:rPr>
              <w:t>8.4</w:t>
              <w:tab/>
              <w:t>Дополнительные требования к Коллективным участникам</w:t>
              <w:tab/>
              <w:t>50</w:t>
            </w:r>
          </w:hyperlink>
        </w:p>
        <w:p>
          <w:pPr>
            <w:pStyle w:val="TOC2"/>
            <w:tabs>
              <w:tab w:val="clear" w:pos="9923"/>
              <w:tab w:val="left" w:pos="851" w:leader="none"/>
              <w:tab w:val="right" w:pos="9922" w:leader="dot"/>
            </w:tabs>
            <w:rPr/>
          </w:pPr>
          <w:hyperlink w:anchor="__RefHeading___Toc192591_1558056896">
            <w:r>
              <w:rPr>
                <w:webHidden/>
                <w:rStyle w:val="Style15"/>
                <w:vanish w:val="false"/>
              </w:rPr>
              <w:t>8.5</w:t>
              <w:tab/>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5"/>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5"/>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5"/>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5"/>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5"/>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5"/>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5"/>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5"/>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5"/>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5"/>
                <w:vanish w:val="false"/>
              </w:rPr>
              <w:t>12.1</w:t>
              <w:tab/>
            </w:r>
            <w:r>
              <w:rPr>
                <w:rStyle w:val="Style15"/>
                <w:i w:val="false"/>
                <w:iCs w:val="false"/>
              </w:rPr>
              <w:t>Отборочные критерии рассмотрения первых частей заявок (первых частей заявок, содержащихся в окончательных предложениях)</w:t>
            </w:r>
            <w:r>
              <w:rPr>
                <w:rStyle w:val="Style15"/>
              </w:rPr>
              <w:tab/>
              <w:t>56</w:t>
            </w:r>
          </w:hyperlink>
        </w:p>
        <w:p>
          <w:pPr>
            <w:pStyle w:val="TOC2"/>
            <w:tabs>
              <w:tab w:val="clear" w:pos="9923"/>
              <w:tab w:val="left" w:pos="851" w:leader="none"/>
              <w:tab w:val="right" w:pos="9922" w:leader="dot"/>
            </w:tabs>
            <w:rPr/>
          </w:pPr>
          <w:hyperlink w:anchor="__RefHeading___Toc192613_1558056896">
            <w:r>
              <w:rPr>
                <w:webHidden/>
                <w:rStyle w:val="Style15"/>
                <w:vanish w:val="false"/>
              </w:rPr>
              <w:t>12.2</w:t>
              <w:tab/>
            </w:r>
            <w:r>
              <w:rPr>
                <w:rStyle w:val="Style15"/>
                <w:i w:val="false"/>
                <w:iCs w:val="false"/>
              </w:rPr>
              <w:t>Отборочные критерии рассмотрения вторых частей заявок</w:t>
            </w:r>
            <w:r>
              <w:rPr>
                <w:rStyle w:val="Style15"/>
              </w:rPr>
              <w:tab/>
              <w:t>57</w:t>
            </w:r>
          </w:hyperlink>
        </w:p>
        <w:p>
          <w:pPr>
            <w:pStyle w:val="TOC2"/>
            <w:tabs>
              <w:tab w:val="clear" w:pos="9923"/>
              <w:tab w:val="left" w:pos="851" w:leader="none"/>
              <w:tab w:val="right" w:pos="9922" w:leader="dot"/>
            </w:tabs>
            <w:rPr/>
          </w:pPr>
          <w:hyperlink w:anchor="__RefHeading___Toc192615_1558056896">
            <w:r>
              <w:rPr>
                <w:webHidden/>
                <w:rStyle w:val="Style15"/>
                <w:vanish w:val="false"/>
              </w:rPr>
              <w:t>12.3</w:t>
              <w:tab/>
            </w:r>
            <w:r>
              <w:rPr>
                <w:rStyle w:val="Style15"/>
                <w:i w:val="false"/>
                <w:iCs w:val="false"/>
              </w:rPr>
              <w:t>Отборочные критерии рассмотрения ценовых предложений (дополнительных ценовых предложений)</w:t>
            </w:r>
            <w:r>
              <w:rPr>
                <w:rStyle w:val="Style15"/>
              </w:rPr>
              <w:tab/>
              <w:t>59</w:t>
            </w:r>
          </w:hyperlink>
        </w:p>
        <w:p>
          <w:pPr>
            <w:pStyle w:val="TOC2"/>
            <w:tabs>
              <w:tab w:val="clear" w:pos="9923"/>
              <w:tab w:val="left" w:pos="851" w:leader="none"/>
              <w:tab w:val="right" w:pos="9922" w:leader="dot"/>
            </w:tabs>
            <w:rPr/>
          </w:pPr>
          <w:hyperlink w:anchor="__RefHeading___Toc192617_1558056896">
            <w:r>
              <w:rPr>
                <w:webHidden/>
                <w:rStyle w:val="Style15"/>
                <w:vanish w:val="false"/>
              </w:rPr>
              <w:t>12.4</w:t>
              <w:tab/>
            </w:r>
            <w:r>
              <w:rPr>
                <w:rStyle w:val="Style15"/>
                <w:i w:val="false"/>
                <w:iCs w:val="false"/>
              </w:rPr>
              <w:t>Дополнительные критерии проверки заявок на соответствие условиям Документации о закупке</w:t>
            </w:r>
            <w:r>
              <w:rPr>
                <w:rStyle w:val="Style15"/>
              </w:rPr>
              <w:tab/>
              <w:t>60</w:t>
            </w:r>
          </w:hyperlink>
        </w:p>
        <w:p>
          <w:pPr>
            <w:pStyle w:val="TOC1"/>
            <w:tabs>
              <w:tab w:val="clear" w:pos="9923"/>
              <w:tab w:val="left" w:pos="851" w:leader="none"/>
              <w:tab w:val="right" w:pos="9922" w:leader="dot"/>
            </w:tabs>
            <w:rPr/>
          </w:pPr>
          <w:hyperlink w:anchor="__RefHeading___Toc192619_1558056896">
            <w:r>
              <w:rPr>
                <w:webHidden/>
                <w:rStyle w:val="Style15"/>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5"/>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5"/>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5"/>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5"/>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5"/>
                <w:vanish w:val="false"/>
              </w:rPr>
              <w:t>15.1</w:t>
              <w:tab/>
              <w:t>Пояснения к форме Заявки на аккредитацию</w:t>
              <w:tab/>
              <w:t>69</w:t>
            </w:r>
          </w:hyperlink>
          <w:r>
            <w:rPr>
              <w:rStyle w:val="Style15"/>
              <w:vanish w:val="false"/>
            </w:rPr>
            <w:fldChar w:fldCharType="end"/>
          </w:r>
        </w:p>
      </w:sdtContent>
    </w:sdt>
    <w:p>
      <w:pPr>
        <w:pStyle w:val="Style26"/>
        <w:jc w:val="both"/>
        <w:rPr/>
      </w:pPr>
      <w:r>
        <w:rPr/>
      </w:r>
    </w:p>
    <w:p>
      <w:pPr>
        <w:pStyle w:val="Style26"/>
        <w:keepNext w:val="true"/>
        <w:spacing w:before="60" w:after="0"/>
        <w:rPr>
          <w:rStyle w:val="Style14"/>
        </w:rPr>
      </w:pPr>
      <w:r>
        <w:rPr/>
      </w:r>
    </w:p>
    <w:p>
      <w:pPr>
        <w:pStyle w:val="Style25"/>
        <w:numPr>
          <w:ilvl w:val="0"/>
          <w:numId w:val="0"/>
        </w:numPr>
        <w:ind w:left="0" w:hanging="0"/>
        <w:outlineLvl w:val="0"/>
        <w:rPr/>
      </w:pPr>
      <w:bookmarkStart w:id="0" w:name="__RefHeading___Toc192495_1558056896"/>
      <w:bookmarkStart w:id="1" w:name="_Toc186224110"/>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6"/>
        <w:ind w:firstLine="567"/>
        <w:rPr/>
      </w:pPr>
      <w:r>
        <w:rPr>
          <w:b/>
          <w:bCs/>
        </w:rPr>
        <w:t>Закон 98-ФЗ</w:t>
      </w:r>
      <w:r>
        <w:rPr/>
        <w:t xml:space="preserve"> – Федеральный закон от 29 июля 2004 года № 98-ФЗ «О коммерческой тайне».</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6"/>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ind w:left="0" w:hanging="0"/>
        <w:outlineLvl w:val="0"/>
        <w:rPr/>
      </w:pPr>
      <w:bookmarkStart w:id="2" w:name="__RefHeading___Toc192497_1558056896"/>
      <w:bookmarkStart w:id="3" w:name="_Toc186224111"/>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keepNext w:val="true"/>
        <w:rPr/>
      </w:pPr>
      <w:r>
        <w:rPr/>
        <w:t>[Дополнение (если условиями закупки предусмотрен дополнительный этап закупки – Переторжка):]</w:t>
      </w:r>
    </w:p>
    <w:p>
      <w:pPr>
        <w:pStyle w:val="Style26"/>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9"/>
        <w:rPr/>
      </w:pPr>
      <w:r>
        <w:rPr/>
        <w:t>[Окончание дополнения]</w:t>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rPr/>
      </w:pPr>
      <w:bookmarkStart w:id="5" w:name="__RefHeading___Toc192499_1558056896"/>
      <w:bookmarkStart w:id="6" w:name="_Ref125359988"/>
      <w:bookmarkStart w:id="7" w:name="_Toc186224112"/>
      <w:bookmarkEnd w:id="5"/>
      <w:r>
        <w:rPr/>
        <w:t>Основные сведения о закупке</w:t>
      </w:r>
      <w:bookmarkEnd w:id="6"/>
      <w:bookmarkEnd w:id="7"/>
    </w:p>
    <w:p>
      <w:pPr>
        <w:pStyle w:val="Style21"/>
        <w:rPr/>
      </w:pPr>
      <w:bookmarkStart w:id="8" w:name="__RefHeading___Toc192501_1558056896"/>
      <w:bookmarkStart w:id="9" w:name="_Toc186224113"/>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192503_1558056896"/>
      <w:bookmarkStart w:id="11" w:name="_Ref127270076"/>
      <w:bookmarkStart w:id="12" w:name="_Ref125359973"/>
      <w:bookmarkStart w:id="13" w:name="_Toc186224114"/>
      <w:bookmarkStart w:id="14" w:name="_Ref132876309"/>
      <w:bookmarkEnd w:id="10"/>
      <w:r>
        <w:rPr/>
        <w:t>Информация о проводимой закупке</w:t>
      </w:r>
      <w:bookmarkEnd w:id="11"/>
      <w:bookmarkEnd w:id="12"/>
      <w:bookmarkEnd w:id="13"/>
      <w:bookmarkEnd w:id="14"/>
    </w:p>
    <w:tbl>
      <w:tblPr>
        <w:tblStyle w:val="af8"/>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74"/>
        <w:gridCol w:w="5812"/>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74"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8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0980"/>
            <w:bookmarkStart w:id="16" w:name="_Ref125360980"/>
            <w:bookmarkEnd w:id="1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996"/>
            <w:bookmarkStart w:id="18" w:name="_Ref125360996"/>
            <w:bookmarkEnd w:id="18"/>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93101-КС ПИР СМР-2025-ДРСК-ХЭС</w:t>
            </w:r>
            <w:r>
              <w:rPr>
                <w:rFonts w:eastAsia="Calibri" w:cs=""/>
                <w:i w:val="false"/>
                <w:iCs w:val="false"/>
                <w:kern w:val="0"/>
                <w:sz w:val="26"/>
                <w:szCs w:val="22"/>
                <w:shd w:fill="auto" w:val="clear"/>
                <w:lang w:val="ru-RU" w:eastAsia="en-US" w:bidi="ar-SA"/>
              </w:rPr>
              <w:t>:</w:t>
            </w:r>
            <w:r>
              <w:rPr>
                <w:rFonts w:eastAsia="Calibri" w:cs=""/>
                <w:kern w:val="0"/>
                <w:sz w:val="26"/>
                <w:szCs w:val="22"/>
                <w:lang w:val="ru-RU" w:eastAsia="en-US" w:bidi="ar-SA"/>
              </w:rPr>
              <w:t xml:space="preserve"> </w:t>
            </w:r>
            <w:r>
              <w:rPr>
                <w:rStyle w:val="Style8"/>
                <w:rFonts w:eastAsia="Calibri" w:cs=""/>
                <w:b/>
                <w:bCs/>
                <w:i/>
                <w:iCs/>
                <w:kern w:val="0"/>
                <w:sz w:val="26"/>
                <w:szCs w:val="22"/>
                <w:shd w:fill="auto" w:val="clear"/>
                <w:lang w:val="ru-RU" w:eastAsia="en-US" w:bidi="ar-SA"/>
              </w:rPr>
              <w:t>ОКПД2 43.21.10 Мероприятия по подключению новых потребителей для нужд филиала "Хабаровские электрические сети" на территории СП «ЦЭС» СРЭС</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7124"/>
            <w:bookmarkStart w:id="20" w:name="_Ref125367124"/>
            <w:bookmarkEnd w:id="20"/>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764"/>
            <w:bookmarkStart w:id="22" w:name="_Ref125360764"/>
            <w:bookmarkEnd w:id="22"/>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812" w:type="dxa"/>
            <w:tcBorders/>
          </w:tcPr>
          <w:p>
            <w:pPr>
              <w:pStyle w:val="Normal"/>
              <w:widowControl w:val="false"/>
              <w:suppressAutoHyphens w:val="true"/>
              <w:spacing w:before="0" w:after="0"/>
              <w:rPr/>
            </w:pPr>
            <w:r>
              <w:rPr/>
              <w:t xml:space="preserve">Электронная (торговая) площадка: </w:t>
            </w:r>
            <w:hyperlink r:id="rId2">
              <w:r>
                <w:rPr/>
                <w:t>https://tender.lot-online.ru</w:t>
              </w:r>
            </w:hyperlink>
            <w:r>
              <w:rPr/>
              <w:t>.</w:t>
            </w:r>
          </w:p>
          <w:p>
            <w:pPr>
              <w:pStyle w:val="Normal"/>
              <w:widowControl w:val="false"/>
              <w:suppressAutoHyphens w:val="true"/>
              <w:spacing w:before="0" w:after="0"/>
              <w:ind w:left="38" w:hanging="0"/>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i w:val="false"/>
                  <w:iCs w:val="false"/>
                  <w:kern w:val="0"/>
                  <w:sz w:val="26"/>
                  <w:szCs w:val="22"/>
                  <w:shd w:fill="auto" w:val="clear"/>
                  <w:lang w:val="ru-RU" w:eastAsia="en-US" w:bidi="ar-SA"/>
                </w:rPr>
                <w:t>https://tender.lot-online.ru/app/EtpDocList/page</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70"/>
            <w:bookmarkStart w:id="24" w:name="_Ref125360970"/>
            <w:bookmarkEnd w:id="24"/>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6"/>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88"/>
            <w:bookmarkStart w:id="26" w:name="_Ref125360988"/>
            <w:bookmarkEnd w:id="2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81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4">
              <w:r>
                <w:rPr>
                  <w:rStyle w:val="Hyperlink"/>
                  <w:b w:val="false"/>
                  <w:sz w:val="26"/>
                  <w:szCs w:val="26"/>
                </w:rPr>
                <w:t>okzt5@drsk.ru</w:t>
              </w:r>
            </w:hyperlink>
          </w:p>
          <w:p>
            <w:pPr>
              <w:pStyle w:val="Tableheader"/>
              <w:widowControl w:val="false"/>
              <w:suppressAutoHyphens w:val="true"/>
              <w:spacing w:before="0" w:after="0"/>
              <w:rPr>
                <w:rStyle w:val="Style16"/>
                <w:bCs/>
                <w:i w:val="false"/>
                <w:i w:val="false"/>
                <w:sz w:val="24"/>
                <w:szCs w:val="26"/>
                <w:shd w:fill="auto" w:val="clear"/>
              </w:rPr>
            </w:pPr>
            <w:r>
              <w:rPr>
                <w:b w:val="false"/>
                <w:sz w:val="26"/>
                <w:szCs w:val="26"/>
              </w:rPr>
              <w:t>Контактный телефон: 8 (4162) 397-208</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954"/>
            <w:bookmarkStart w:id="28" w:name="_Ref125360954"/>
            <w:bookmarkEnd w:id="28"/>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81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5">
              <w:r>
                <w:rPr>
                  <w:rStyle w:val="Hyperlink"/>
                  <w:b w:val="false"/>
                  <w:sz w:val="26"/>
                  <w:szCs w:val="26"/>
                </w:rPr>
                <w:t>okzt5@drsk.ru</w:t>
              </w:r>
            </w:hyperlink>
          </w:p>
          <w:p>
            <w:pPr>
              <w:pStyle w:val="Tableheader"/>
              <w:widowControl w:val="false"/>
              <w:suppressAutoHyphens w:val="true"/>
              <w:spacing w:before="0" w:after="0"/>
              <w:rPr>
                <w:rStyle w:val="Style16"/>
                <w:b/>
                <w:sz w:val="18"/>
              </w:rPr>
            </w:pPr>
            <w:r>
              <w:rPr>
                <w:b w:val="false"/>
                <w:sz w:val="26"/>
                <w:szCs w:val="26"/>
              </w:rPr>
              <w:t>Контактный телефон: 8 (4162) 397-208</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1238"/>
            <w:bookmarkStart w:id="30" w:name="_Ref125361238"/>
            <w:bookmarkEnd w:id="30"/>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812" w:type="dxa"/>
            <w:tcBorders/>
          </w:tcPr>
          <w:p>
            <w:pPr>
              <w:pStyle w:val="Tableheader"/>
              <w:widowControl w:val="false"/>
              <w:suppressAutoHyphens w:val="true"/>
              <w:snapToGrid w:val="false"/>
              <w:spacing w:before="0" w:after="0"/>
              <w:rPr>
                <w:b w:val="false"/>
                <w:sz w:val="26"/>
                <w:szCs w:val="26"/>
              </w:rPr>
            </w:pPr>
            <w:r>
              <w:rPr>
                <w:b w:val="false"/>
                <w:sz w:val="26"/>
                <w:szCs w:val="26"/>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0"/>
              <w:rPr>
                <w:b w:val="false"/>
                <w:sz w:val="26"/>
                <w:szCs w:val="26"/>
              </w:rPr>
            </w:pPr>
            <w:r>
              <w:rPr>
                <w:b w:val="false"/>
                <w:sz w:val="26"/>
                <w:szCs w:val="26"/>
              </w:rPr>
              <w:t>Контактный телефон: 8 (4162) 397-208</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 xml:space="preserve">Адрес электронной почты: </w:t>
            </w:r>
            <w:hyperlink r:id="rId6">
              <w:r>
                <w:rPr>
                  <w:b w:val="false"/>
                  <w:sz w:val="26"/>
                  <w:szCs w:val="26"/>
                </w:rPr>
                <w:t>okzt5@drsk.ru</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694"/>
            <w:bookmarkStart w:id="32" w:name="_Ref125362694"/>
            <w:bookmarkEnd w:id="32"/>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63"/>
            <w:bookmarkStart w:id="34" w:name="_Ref125360963"/>
            <w:bookmarkEnd w:id="34"/>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«06» марта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837"/>
            <w:bookmarkStart w:id="36" w:name="_Ref125362837"/>
            <w:bookmarkEnd w:id="3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b/>
                <w:bCs/>
                <w:i/>
                <w:iCs/>
                <w:kern w:val="0"/>
                <w:sz w:val="26"/>
                <w:szCs w:val="22"/>
                <w:lang w:val="ru-RU" w:eastAsia="en-US" w:bidi="ar-SA"/>
              </w:rPr>
              <w:t>34 500 000,00</w:t>
            </w:r>
            <w:r>
              <w:rPr>
                <w:rFonts w:eastAsia="Calibri" w:cs=""/>
                <w:kern w:val="0"/>
                <w:sz w:val="26"/>
                <w:szCs w:val="22"/>
                <w:lang w:val="ru-RU" w:eastAsia="en-US" w:bidi="ar-SA"/>
              </w:rPr>
              <w:t xml:space="preserve"> руб., без учета НДС.</w:t>
            </w:r>
          </w:p>
          <w:p>
            <w:pPr>
              <w:pStyle w:val="Style26"/>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3076"/>
            <w:bookmarkStart w:id="38" w:name="_Ref125363076"/>
            <w:bookmarkEnd w:id="38"/>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26"/>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2995"/>
            <w:bookmarkStart w:id="40" w:name="_Ref125362995"/>
            <w:bookmarkEnd w:id="40"/>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812"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533737"/>
            <w:bookmarkStart w:id="42" w:name="_Ref125533737"/>
            <w:bookmarkEnd w:id="42"/>
          </w:p>
        </w:tc>
        <w:tc>
          <w:tcPr>
            <w:tcW w:w="297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2"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29"/>
              <w:widowControl w:val="false"/>
              <w:suppressAutoHyphens w:val="true"/>
              <w:spacing w:before="60" w:after="60"/>
              <w:rPr>
                <w:szCs w:val="26"/>
              </w:rPr>
            </w:pPr>
            <w:r>
              <w:rPr>
                <w:szCs w:val="26"/>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32896648"/>
            <w:bookmarkStart w:id="44" w:name="_Ref132896648"/>
            <w:bookmarkEnd w:id="44"/>
          </w:p>
        </w:tc>
        <w:tc>
          <w:tcPr>
            <w:tcW w:w="297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2"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5086"/>
            <w:bookmarkStart w:id="46" w:name="_Ref125475086"/>
            <w:bookmarkEnd w:id="4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w:t>
              <w:br/>
              <w:t>подачи заявок:</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0779"/>
            <w:bookmarkStart w:id="48" w:name="_Ref125360779"/>
            <w:bookmarkEnd w:id="48"/>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 «06» марта 2025</w:t>
            </w:r>
          </w:p>
          <w:p>
            <w:pPr>
              <w:pStyle w:val="Style26"/>
              <w:widowControl w:val="false"/>
              <w:suppressAutoHyphens w:val="true"/>
              <w:spacing w:before="60" w:after="60"/>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«24» марта 2025  в 15 ч. 00 мин. (по местному времени Организатора).</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«24» марта 2025 в 15 ч. 00 мин. (по местному времени Организатора).</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6197"/>
            <w:bookmarkStart w:id="50" w:name="_Ref125476197"/>
            <w:bookmarkEnd w:id="50"/>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2733"/>
            <w:bookmarkStart w:id="52" w:name="_Ref125362733"/>
            <w:bookmarkEnd w:id="52"/>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«27» марта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32898515"/>
            <w:bookmarkStart w:id="54" w:name="_Ref132898515"/>
            <w:bookmarkEnd w:id="54"/>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«02» апреля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12"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2757"/>
            <w:bookmarkStart w:id="56" w:name="_Ref125362757"/>
            <w:bookmarkEnd w:id="5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812" w:type="dxa"/>
            <w:tcBorders/>
          </w:tcPr>
          <w:p>
            <w:pPr>
              <w:pStyle w:val="Style26"/>
              <w:widowControl w:val="false"/>
              <w:suppressAutoHyphens w:val="true"/>
              <w:spacing w:before="60" w:after="60"/>
              <w:rPr/>
            </w:pPr>
            <w:r>
              <w:rPr>
                <w:rFonts w:eastAsia="Calibri" w:cs=""/>
                <w:kern w:val="0"/>
                <w:sz w:val="26"/>
                <w:szCs w:val="22"/>
                <w:lang w:val="ru-RU" w:eastAsia="en-US" w:bidi="ar-SA"/>
              </w:rPr>
              <w:t>«03» апреля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047"/>
            <w:bookmarkStart w:id="58" w:name="_Ref125366047"/>
            <w:bookmarkEnd w:id="58"/>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предоставляется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1769"/>
            <w:bookmarkStart w:id="60" w:name="_Ref125361769"/>
            <w:bookmarkEnd w:id="60"/>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 итогов закупки:</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606"/>
            <w:bookmarkStart w:id="62" w:name="_Ref125366606"/>
            <w:bookmarkEnd w:id="62"/>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81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366813"/>
            <w:bookmarkStart w:id="64" w:name="_Ref125366813"/>
            <w:bookmarkEnd w:id="64"/>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1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Почтовый адрес: 675004, г. Благовещенск, ул. Шевченко, 32, каб. 214. </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Контактное лицо для приема документов (Ф.И.О.): Телефон: (4162) 397-322, 397-235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5" w:name="_Ref125368490"/>
            <w:bookmarkStart w:id="66" w:name="_Ref125368490"/>
            <w:bookmarkEnd w:id="66"/>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812" w:type="dxa"/>
            <w:tcBorders/>
          </w:tcPr>
          <w:p>
            <w:pPr>
              <w:pStyle w:val="Tableheader"/>
              <w:widowControl w:val="false"/>
              <w:suppressAutoHyphens w:val="true"/>
              <w:spacing w:before="0" w:after="0"/>
              <w:rPr>
                <w:b w:val="false"/>
                <w:sz w:val="26"/>
                <w:szCs w:val="26"/>
              </w:rPr>
            </w:pPr>
            <w:r>
              <w:rPr>
                <w:b w:val="false"/>
                <w:sz w:val="26"/>
                <w:szCs w:val="26"/>
              </w:rPr>
              <w:t>Отсутствуют</w:t>
            </w:r>
          </w:p>
          <w:p>
            <w:pPr>
              <w:pStyle w:val="Tableheader"/>
              <w:widowControl w:val="false"/>
              <w:suppressAutoHyphens w:val="true"/>
              <w:spacing w:before="0" w:after="0"/>
              <w:rPr>
                <w:b w:val="false"/>
                <w:sz w:val="24"/>
                <w:szCs w:val="26"/>
              </w:rPr>
            </w:pPr>
            <w:r>
              <w:rPr>
                <w:bCs/>
                <w:i/>
                <w:iCs/>
                <w:sz w:val="26"/>
                <w:szCs w:val="26"/>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4"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812"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требуется </w:t>
            </w:r>
          </w:p>
          <w:p>
            <w:pPr>
              <w:pStyle w:val="Normal"/>
              <w:widowControl w:val="false"/>
              <w:suppressAutoHyphens w:val="true"/>
              <w:spacing w:before="0" w:after="0"/>
              <w:rPr/>
            </w:pPr>
            <w:r>
              <w:rPr/>
              <w:t>Раз</w:t>
            </w:r>
            <w:r>
              <w:rPr>
                <w:b w:val="false"/>
                <w:bCs w:val="false"/>
                <w:sz w:val="26"/>
                <w:szCs w:val="26"/>
              </w:rPr>
              <w:t>мер обеспечения Договора: независимая гарантия надлежащего исполнения обязательств (или обеспечительный платеж) в размере 5% от стоимости договора</w:t>
            </w:r>
          </w:p>
          <w:p>
            <w:pPr>
              <w:pStyle w:val="Tableheader"/>
              <w:widowControl w:val="false"/>
              <w:suppressAutoHyphens w:val="true"/>
              <w:snapToGrid w:val="false"/>
              <w:spacing w:before="0" w:after="0"/>
              <w:rPr>
                <w:b w:val="false"/>
                <w:bCs w:val="false"/>
                <w:sz w:val="26"/>
                <w:szCs w:val="26"/>
              </w:rPr>
            </w:pPr>
            <w:r>
              <w:rPr>
                <w:b w:val="false"/>
                <w:bCs w:val="false"/>
                <w:sz w:val="26"/>
                <w:szCs w:val="26"/>
              </w:rPr>
              <w:t>Валюта обеспечения исполнения Договора: в валюте расчета по Договору – Российский рубль</w:t>
            </w:r>
          </w:p>
          <w:p>
            <w:pPr>
              <w:pStyle w:val="Normal"/>
              <w:widowControl w:val="false"/>
              <w:suppressAutoHyphens w:val="true"/>
              <w:spacing w:before="0" w:after="0"/>
              <w:ind w:left="11" w:hanging="0"/>
              <w:rPr>
                <w:b w:val="false"/>
                <w:bCs w:val="false"/>
                <w:sz w:val="26"/>
                <w:szCs w:val="26"/>
              </w:rPr>
            </w:pPr>
            <w:r>
              <w:rPr>
                <w:b w:val="false"/>
                <w:bCs w:val="false"/>
                <w:sz w:val="26"/>
                <w:szCs w:val="26"/>
              </w:rPr>
              <w:t>Иные требования к обеспечению исполнения Договора: приведены в Проекте договора (Приложение №2 к Документации о закупке)»</w:t>
            </w:r>
          </w:p>
        </w:tc>
      </w:tr>
    </w:tbl>
    <w:p>
      <w:pPr>
        <w:pStyle w:val="Style20"/>
        <w:rPr>
          <w:sz w:val="22"/>
        </w:rPr>
      </w:pPr>
      <w:bookmarkStart w:id="67" w:name="__RefHeading___Toc192505_1558056896"/>
      <w:bookmarkStart w:id="68" w:name="_Ref125360073"/>
      <w:bookmarkStart w:id="69" w:name="_Ref125360337"/>
      <w:bookmarkStart w:id="70" w:name="_Toc186224115"/>
      <w:bookmarkEnd w:id="67"/>
      <w:r>
        <w:rPr>
          <w:sz w:val="22"/>
        </w:rPr>
        <w:t>Общие положения</w:t>
      </w:r>
      <w:bookmarkEnd w:id="68"/>
      <w:bookmarkEnd w:id="69"/>
      <w:bookmarkEnd w:id="70"/>
    </w:p>
    <w:p>
      <w:pPr>
        <w:pStyle w:val="Style21"/>
        <w:rPr>
          <w:sz w:val="22"/>
        </w:rPr>
      </w:pPr>
      <w:bookmarkStart w:id="71" w:name="__RefHeading___Toc192507_1558056896"/>
      <w:bookmarkStart w:id="72" w:name="_Toc186224116"/>
      <w:bookmarkEnd w:id="71"/>
      <w:r>
        <w:rPr>
          <w:sz w:val="22"/>
        </w:rPr>
        <w:t>Общие сведения о закупке</w:t>
      </w:r>
      <w:bookmarkEnd w:id="72"/>
    </w:p>
    <w:p>
      <w:pPr>
        <w:pStyle w:val="Style22"/>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2"/>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2"/>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sz w:val="22"/>
          </w:rPr>
          <w:t>Технических требованиях (Приложение № 1)</w:t>
        </w:r>
      </w:hyperlink>
      <w:r>
        <w:rPr>
          <w:sz w:val="22"/>
        </w:rPr>
        <w:t xml:space="preserve">. </w:t>
      </w:r>
      <w:hyperlink w:anchor="Прил02_ПроектДоговора">
        <w:r>
          <w:rPr>
            <w:rStyle w:val="Style11"/>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sz w:val="22"/>
          </w:rPr>
          <w:t>Приложении № 2</w:t>
        </w:r>
      </w:hyperlink>
      <w:r>
        <w:rPr>
          <w:sz w:val="22"/>
        </w:rPr>
        <w:t>.</w:t>
      </w:r>
    </w:p>
    <w:p>
      <w:pPr>
        <w:pStyle w:val="Style22"/>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sz w:val="22"/>
          </w:rPr>
          <w:t>№ 4</w:t>
        </w:r>
      </w:hyperlink>
      <w:r>
        <w:rPr>
          <w:sz w:val="22"/>
        </w:rPr>
        <w:t xml:space="preserve">, </w:t>
      </w:r>
      <w:hyperlink w:anchor="Прил05_ФормыПобедителя">
        <w:r>
          <w:rPr>
            <w:rStyle w:val="Style11"/>
            <w:sz w:val="22"/>
          </w:rPr>
          <w:t>№ 5</w:t>
        </w:r>
      </w:hyperlink>
      <w:r>
        <w:rPr>
          <w:sz w:val="22"/>
        </w:rPr>
        <w:t>.</w:t>
      </w:r>
    </w:p>
    <w:p>
      <w:pPr>
        <w:pStyle w:val="Style21"/>
        <w:rPr>
          <w:sz w:val="22"/>
        </w:rPr>
      </w:pPr>
      <w:bookmarkStart w:id="73" w:name="__RefHeading___Toc192509_1558056896"/>
      <w:bookmarkStart w:id="74" w:name="_Toc186224117"/>
      <w:bookmarkEnd w:id="73"/>
      <w:r>
        <w:rPr>
          <w:sz w:val="22"/>
        </w:rPr>
        <w:t>Правовой статус документов</w:t>
      </w:r>
      <w:bookmarkEnd w:id="74"/>
    </w:p>
    <w:p>
      <w:pPr>
        <w:pStyle w:val="Style22"/>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2"/>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2"/>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2"/>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sz w:val="22"/>
        </w:rPr>
      </w:pPr>
      <w:bookmarkStart w:id="76" w:name="__RefHeading___Toc192511_1558056896"/>
      <w:bookmarkStart w:id="77" w:name="_Ref125363536"/>
      <w:bookmarkStart w:id="78" w:name="_Toc186224118"/>
      <w:bookmarkEnd w:id="76"/>
      <w:r>
        <w:rPr>
          <w:sz w:val="22"/>
        </w:rPr>
        <w:t>Обжалование</w:t>
      </w:r>
      <w:bookmarkEnd w:id="77"/>
      <w:bookmarkEnd w:id="78"/>
    </w:p>
    <w:p>
      <w:pPr>
        <w:pStyle w:val="Style22"/>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rPr>
          <w:sz w:val="22"/>
        </w:rPr>
      </w:pPr>
      <w:r>
        <w:rPr>
          <w:sz w:val="22"/>
        </w:rPr>
        <w:t>признать заявление Участника необоснованным.</w:t>
      </w:r>
    </w:p>
    <w:p>
      <w:pPr>
        <w:pStyle w:val="Style22"/>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2"/>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6"/>
        <w:ind w:left="1134" w:hanging="0"/>
        <w:rPr>
          <w:sz w:val="22"/>
        </w:rPr>
      </w:pPr>
      <w:r>
        <w:rPr>
          <w:sz w:val="22"/>
        </w:rPr>
        <w:t>Закупочная комиссия определяется в соответствии с Положением о закупке.</w:t>
      </w:r>
    </w:p>
    <w:p>
      <w:pPr>
        <w:pStyle w:val="Style21"/>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2"/>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2"/>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rPr>
          <w:sz w:val="22"/>
        </w:rPr>
      </w:pPr>
      <w:r>
        <w:rPr>
          <w:sz w:val="22"/>
        </w:rPr>
        <w:t>Правила проведения закупки в том числе определяются Регламентом ЭП.</w:t>
      </w:r>
    </w:p>
    <w:p>
      <w:pPr>
        <w:pStyle w:val="Style22"/>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sz w:val="22"/>
        </w:rPr>
      </w:pPr>
      <w:bookmarkStart w:id="81" w:name="__RefHeading___Toc192515_1558056896"/>
      <w:bookmarkStart w:id="82" w:name="_Toc186224120"/>
      <w:bookmarkEnd w:id="81"/>
      <w:r>
        <w:rPr>
          <w:sz w:val="22"/>
        </w:rPr>
        <w:t>Прочие положения</w:t>
      </w:r>
      <w:bookmarkEnd w:id="82"/>
    </w:p>
    <w:p>
      <w:pPr>
        <w:pStyle w:val="Style22"/>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rPr>
          <w:sz w:val="22"/>
        </w:rPr>
      </w:pPr>
      <w:bookmarkStart w:id="83" w:name="__RefHeading___Toc192517_1558056896"/>
      <w:bookmarkStart w:id="84" w:name="_Ref125361210"/>
      <w:bookmarkStart w:id="85" w:name="_Toc186224121"/>
      <w:bookmarkEnd w:id="83"/>
      <w:r>
        <w:rPr>
          <w:sz w:val="22"/>
        </w:rPr>
        <w:t>Требования к Участникам</w:t>
      </w:r>
      <w:bookmarkEnd w:id="84"/>
      <w:bookmarkEnd w:id="85"/>
    </w:p>
    <w:p>
      <w:pPr>
        <w:pStyle w:val="Style21"/>
        <w:rPr>
          <w:sz w:val="22"/>
        </w:rPr>
      </w:pPr>
      <w:bookmarkStart w:id="86" w:name="__RefHeading___Toc192519_1558056896"/>
      <w:bookmarkStart w:id="87" w:name="_Ref127524530"/>
      <w:bookmarkStart w:id="88" w:name="_Toc186224122"/>
      <w:bookmarkEnd w:id="86"/>
      <w:r>
        <w:rPr>
          <w:sz w:val="22"/>
        </w:rPr>
        <w:t>Общие требования к Участникам</w:t>
      </w:r>
      <w:bookmarkEnd w:id="87"/>
      <w:bookmarkEnd w:id="88"/>
    </w:p>
    <w:p>
      <w:pPr>
        <w:pStyle w:val="Style22"/>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9"/>
    </w:p>
    <w:p>
      <w:pPr>
        <w:pStyle w:val="Style22"/>
        <w:rPr>
          <w:sz w:val="22"/>
        </w:rPr>
      </w:pPr>
      <w:r>
        <w:rPr>
          <w:sz w:val="22"/>
        </w:rPr>
        <w:t>Однако, чтобы претендовать на победу в закупке Участник самостоятельно или Коллективный участник (подраздел </w:t>
      </w:r>
      <w:r>
        <w:rPr>
          <w:sz w:val="22"/>
        </w:rPr>
        <w:fldChar w:fldCharType="begin"/>
      </w:r>
      <w:r>
        <w:rPr>
          <w:sz w:val="22"/>
        </w:rPr>
        <w:instrText xml:space="preserve"> REF _Ref130308062 \r \h </w:instrText>
      </w:r>
      <w:r>
        <w:rPr>
          <w:sz w:val="22"/>
        </w:rPr>
        <w:fldChar w:fldCharType="separate"/>
      </w:r>
      <w:r>
        <w:rPr>
          <w:sz w:val="22"/>
        </w:rPr>
        <w:t>3.2</w:t>
      </w:r>
      <w:r>
        <w:rPr>
          <w:sz w:val="22"/>
        </w:rPr>
        <w:fldChar w:fldCharType="end"/>
      </w:r>
      <w:r>
        <w:rPr>
          <w:sz w:val="22"/>
        </w:rPr>
        <w:t>) в целом должен отвечать требованиям, установленным в Документации о закупке.</w:t>
      </w:r>
    </w:p>
    <w:p>
      <w:pPr>
        <w:pStyle w:val="Style22"/>
        <w:rPr/>
      </w:pPr>
      <w:r>
        <w:rPr>
          <w:sz w:val="22"/>
        </w:rPr>
        <w:t xml:space="preserve">Требования к Участникам установлены с учетом предмета договора, </w:t>
      </w:r>
      <w:hyperlink w:anchor="Прил01_ТехТребования">
        <w:r>
          <w:rPr>
            <w:rStyle w:val="Style11"/>
            <w:sz w:val="22"/>
          </w:rPr>
          <w:t>Технических требований (Приложение № 1)</w:t>
        </w:r>
      </w:hyperlink>
      <w:r>
        <w:rPr>
          <w:sz w:val="22"/>
        </w:rPr>
        <w:t xml:space="preserve"> и </w:t>
      </w:r>
      <w:hyperlink w:anchor="Прил02_ПроектДоговора">
        <w:r>
          <w:rPr>
            <w:rStyle w:val="Style11"/>
            <w:sz w:val="22"/>
          </w:rPr>
          <w:t>Проекта договора (Приложение № 2)</w:t>
        </w:r>
      </w:hyperlink>
      <w:r>
        <w:rPr>
          <w:sz w:val="22"/>
        </w:rPr>
        <w:t>.</w:t>
      </w:r>
    </w:p>
    <w:p>
      <w:pPr>
        <w:pStyle w:val="Style22"/>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11"/>
            <w:sz w:val="22"/>
          </w:rPr>
          <w:t>Приложении № 3</w:t>
        </w:r>
      </w:hyperlink>
      <w:r>
        <w:rPr>
          <w:sz w:val="22"/>
        </w:rPr>
        <w:t>:</w:t>
      </w:r>
    </w:p>
    <w:p>
      <w:pPr>
        <w:pStyle w:val="Style23"/>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3"/>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2"/>
        <w:keepNext w:val="true"/>
        <w:rPr>
          <w:sz w:val="22"/>
        </w:rPr>
      </w:pPr>
      <w:r>
        <w:rPr>
          <w:sz w:val="22"/>
        </w:rPr>
        <w:t>В рамках требований к Участникам могут быть установлены дополнительные требования:</w:t>
      </w:r>
    </w:p>
    <w:p>
      <w:pPr>
        <w:pStyle w:val="Style23"/>
        <w:rPr>
          <w:sz w:val="22"/>
        </w:rPr>
      </w:pPr>
      <w:r>
        <w:rPr>
          <w:sz w:val="22"/>
        </w:rPr>
        <w:t>к Коллективным участникам (подраздел </w:t>
      </w:r>
      <w:r>
        <w:rPr>
          <w:sz w:val="22"/>
        </w:rPr>
        <w:fldChar w:fldCharType="begin"/>
      </w:r>
      <w:r>
        <w:rPr>
          <w:sz w:val="22"/>
        </w:rPr>
        <w:instrText xml:space="preserve"> REF _Ref130308111 \r \h </w:instrText>
      </w:r>
      <w:r>
        <w:rPr>
          <w:sz w:val="22"/>
        </w:rPr>
        <w:fldChar w:fldCharType="separate"/>
      </w:r>
      <w:r>
        <w:rPr>
          <w:sz w:val="22"/>
        </w:rPr>
        <w:t>3.2</w:t>
      </w:r>
      <w:r>
        <w:rPr>
          <w:sz w:val="22"/>
        </w:rPr>
        <w:fldChar w:fldCharType="end"/>
      </w:r>
      <w:r>
        <w:rPr>
          <w:sz w:val="22"/>
        </w:rPr>
        <w:t>);</w:t>
      </w:r>
    </w:p>
    <w:p>
      <w:pPr>
        <w:pStyle w:val="Style23"/>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2"/>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1"/>
        <w:rPr>
          <w:sz w:val="22"/>
        </w:rPr>
      </w:pPr>
      <w:bookmarkStart w:id="91" w:name="__RefHeading___Toc192521_1558056896"/>
      <w:bookmarkStart w:id="92" w:name="_Toc186224123"/>
      <w:bookmarkStart w:id="93" w:name="_Ref130305355"/>
      <w:bookmarkStart w:id="94" w:name="_Ref130308062"/>
      <w:bookmarkStart w:id="95" w:name="_Ref130308111"/>
      <w:bookmarkStart w:id="96" w:name="_Ref130308203"/>
      <w:bookmarkStart w:id="97" w:name="_Ref130308255"/>
      <w:bookmarkStart w:id="98" w:name="_Ref125361969"/>
      <w:bookmarkStart w:id="99" w:name="_Ref125361976"/>
      <w:bookmarkEnd w:id="91"/>
      <w:r>
        <w:rPr>
          <w:sz w:val="22"/>
        </w:rPr>
        <w:t>Коллективные участники</w:t>
      </w:r>
      <w:bookmarkEnd w:id="92"/>
      <w:bookmarkEnd w:id="93"/>
      <w:bookmarkEnd w:id="94"/>
      <w:bookmarkEnd w:id="95"/>
      <w:bookmarkEnd w:id="96"/>
      <w:bookmarkEnd w:id="97"/>
      <w:bookmarkEnd w:id="98"/>
      <w:bookmarkEnd w:id="99"/>
    </w:p>
    <w:p>
      <w:pPr>
        <w:pStyle w:val="Style22"/>
        <w:rPr>
          <w:sz w:val="22"/>
        </w:rPr>
      </w:pPr>
      <w:r>
        <w:rPr>
          <w:sz w:val="22"/>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2"/>
        <w:rPr/>
      </w:pPr>
      <w:r>
        <w:rPr>
          <w:sz w:val="22"/>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sz w:val="22"/>
        </w:rPr>
        <w:fldChar w:fldCharType="begin"/>
      </w:r>
      <w:r>
        <w:rPr>
          <w:sz w:val="22"/>
        </w:rPr>
        <w:instrText xml:space="preserve"> REF _Ref125552455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2"/>
        <w:keepNext w:val="true"/>
        <w:rPr>
          <w:sz w:val="22"/>
        </w:rPr>
      </w:pPr>
      <w:bookmarkStart w:id="100" w:name="_Ref125366972"/>
      <w:r>
        <w:rPr>
          <w:sz w:val="22"/>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sz w:val="22"/>
        </w:rPr>
        <w:fldChar w:fldCharType="begin"/>
      </w:r>
      <w:r>
        <w:rPr>
          <w:sz w:val="22"/>
        </w:rPr>
        <w:instrText xml:space="preserve"> REF _Ref125361554 \w \h </w:instrText>
      </w:r>
      <w:r>
        <w:rPr>
          <w:sz w:val="22"/>
        </w:rPr>
        <w:fldChar w:fldCharType="separate"/>
      </w:r>
      <w:r>
        <w:rPr>
          <w:sz w:val="22"/>
        </w:rPr>
        <w:t>5.2.5г)</w:t>
      </w:r>
      <w:r>
        <w:rPr>
          <w:sz w:val="22"/>
        </w:rPr>
        <w:fldChar w:fldCharType="end"/>
      </w:r>
      <w:r>
        <w:rPr>
          <w:sz w:val="22"/>
        </w:rPr>
        <w:t>), соответствующее нормам ГК РФ, и отвечающее следующим требованиям:</w:t>
      </w:r>
      <w:bookmarkEnd w:id="100"/>
    </w:p>
    <w:p>
      <w:pPr>
        <w:pStyle w:val="Style23"/>
        <w:rPr>
          <w:sz w:val="22"/>
        </w:rPr>
      </w:pPr>
      <w:r>
        <w:rPr>
          <w:sz w:val="22"/>
        </w:rPr>
        <w:t>в соглашении должны быть определены права и обязанности сторон как в рамках участия в закупке, так и в рамках исполнения Договора;</w:t>
      </w:r>
    </w:p>
    <w:p>
      <w:pPr>
        <w:pStyle w:val="Style23"/>
        <w:rPr>
          <w:sz w:val="22"/>
        </w:rPr>
      </w:pPr>
      <w:r>
        <w:rPr>
          <w:sz w:val="22"/>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3"/>
        <w:rPr>
          <w:sz w:val="22"/>
        </w:rPr>
      </w:pPr>
      <w:r>
        <w:rPr>
          <w:sz w:val="22"/>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3"/>
        <w:rPr>
          <w:sz w:val="22"/>
        </w:rPr>
      </w:pPr>
      <w:r>
        <w:rPr>
          <w:sz w:val="22"/>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3"/>
        <w:rPr>
          <w:sz w:val="22"/>
        </w:rPr>
      </w:pPr>
      <w:r>
        <w:rPr>
          <w:sz w:val="22"/>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3"/>
        <w:rPr>
          <w:sz w:val="22"/>
        </w:rPr>
      </w:pPr>
      <w:r>
        <w:rPr>
          <w:sz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2"/>
        <w:rPr/>
      </w:pPr>
      <w:r>
        <w:rPr>
          <w:sz w:val="22"/>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sz w:val="22"/>
          </w:rPr>
          <w:t>Приложение № 4</w:t>
        </w:r>
      </w:hyperlink>
      <w:r>
        <w:rPr>
          <w:sz w:val="22"/>
        </w:rPr>
        <w:t>) на то, что он представляет интересы Коллективного участника.</w:t>
      </w:r>
    </w:p>
    <w:p>
      <w:pPr>
        <w:pStyle w:val="Style22"/>
        <w:rPr>
          <w:sz w:val="22"/>
        </w:rPr>
      </w:pPr>
      <w:bookmarkStart w:id="101" w:name="_Ref125368791"/>
      <w:r>
        <w:rPr>
          <w:sz w:val="22"/>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bookmarkEnd w:id="101"/>
    </w:p>
    <w:p>
      <w:pPr>
        <w:pStyle w:val="Style22"/>
        <w:rPr/>
      </w:pPr>
      <w:r>
        <w:rPr>
          <w:sz w:val="22"/>
        </w:rPr>
        <w:t>При рассмотрении Коллективного участника на соответствие специальным требованиям к Участникам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2"/>
        <w:rPr/>
      </w:pPr>
      <w:bookmarkStart w:id="102" w:name="_Ref135034010"/>
      <w:r>
        <w:rPr>
          <w:sz w:val="22"/>
        </w:rPr>
        <w:t xml:space="preserve">При оценке заявки Коллективного участника по квалификационным критериям оценки (в случае их установления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членов Коллективного участника (</w:t>
      </w:r>
      <w:bookmarkStart w:id="103" w:name="_Hlk132709364"/>
      <w:r>
        <w:rPr>
          <w:sz w:val="22"/>
        </w:rPr>
        <w:t>наличие требуемого опыта, обеспеченность материально-техническими ресурсами и кадровыми ресурсами</w:t>
      </w:r>
      <w:bookmarkEnd w:id="103"/>
      <w:r>
        <w:rPr>
          <w:sz w:val="22"/>
        </w:rPr>
        <w:t>) суммируются. 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102"/>
    </w:p>
    <w:p>
      <w:pPr>
        <w:pStyle w:val="Style22"/>
        <w:keepNext w:val="true"/>
        <w:rPr>
          <w:sz w:val="22"/>
        </w:rPr>
      </w:pPr>
      <w:bookmarkStart w:id="104" w:name="_Ref125361726"/>
      <w:r>
        <w:rPr>
          <w:sz w:val="22"/>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04"/>
    </w:p>
    <w:p>
      <w:pPr>
        <w:pStyle w:val="Style23"/>
        <w:rPr>
          <w:sz w:val="22"/>
        </w:rPr>
      </w:pPr>
      <w:r>
        <w:rPr>
          <w:sz w:val="22"/>
        </w:rPr>
        <w:t>принимать участие в этой же закупке самостоятельно;</w:t>
      </w:r>
    </w:p>
    <w:p>
      <w:pPr>
        <w:pStyle w:val="Style23"/>
        <w:rPr>
          <w:sz w:val="22"/>
        </w:rPr>
      </w:pPr>
      <w:r>
        <w:rPr>
          <w:sz w:val="22"/>
        </w:rPr>
        <w:t>принимать участие в этой же закупке в качестве Генерального подрядчика или субподрядчика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6"/>
        <w:ind w:left="1134" w:hanging="0"/>
        <w:rPr>
          <w:sz w:val="22"/>
        </w:rPr>
      </w:pPr>
      <w:r>
        <w:rPr>
          <w:sz w:val="22"/>
        </w:rPr>
        <w:t>В случае невыполнения данного требования все заявки с участием таких лиц будут отклонены без рассмотрения по существу.</w:t>
      </w:r>
    </w:p>
    <w:p>
      <w:pPr>
        <w:pStyle w:val="Style22"/>
        <w:rPr/>
      </w:pPr>
      <w:r>
        <w:rPr>
          <w:sz w:val="22"/>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sz w:val="22"/>
          </w:rPr>
          <w:t>Приложение № 3</w:t>
        </w:r>
      </w:hyperlink>
      <w:r>
        <w:rPr>
          <w:rStyle w:val="Style11"/>
          <w:sz w:val="22"/>
        </w:rPr>
        <w:t>)</w:t>
      </w:r>
      <w:r>
        <w:rPr>
          <w:sz w:val="22"/>
        </w:rPr>
        <w:t>, а также при несоблюдении вышеуказанных норм настоящего подраздела заявка такого Коллективного участника отклоняется.</w:t>
      </w:r>
    </w:p>
    <w:p>
      <w:pPr>
        <w:pStyle w:val="Style22"/>
        <w:rPr>
          <w:sz w:val="22"/>
        </w:rPr>
      </w:pPr>
      <w:r>
        <w:rPr>
          <w:sz w:val="22"/>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2"/>
        <w:rPr>
          <w:sz w:val="22"/>
        </w:rPr>
      </w:pPr>
      <w:r>
        <w:rPr>
          <w:sz w:val="22"/>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1"/>
        <w:rPr>
          <w:sz w:val="22"/>
        </w:rPr>
      </w:pPr>
      <w:bookmarkStart w:id="105" w:name="__RefHeading___Toc192523_1558056896"/>
      <w:bookmarkStart w:id="106" w:name="_Ref125361702"/>
      <w:bookmarkStart w:id="107" w:name="_Toc186224124"/>
      <w:bookmarkEnd w:id="105"/>
      <w:r>
        <w:rPr>
          <w:sz w:val="22"/>
        </w:rPr>
        <w:t>Генеральные подрядчики</w:t>
      </w:r>
      <w:bookmarkEnd w:id="106"/>
      <w:bookmarkEnd w:id="107"/>
    </w:p>
    <w:p>
      <w:pPr>
        <w:pStyle w:val="Style22"/>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2"/>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2"/>
        <w:keepNext w:val="true"/>
        <w:rPr>
          <w:sz w:val="22"/>
        </w:rPr>
      </w:pPr>
      <w:r>
        <w:rPr>
          <w:sz w:val="22"/>
        </w:rPr>
        <w:t>Генеральный подрядчик:</w:t>
      </w:r>
    </w:p>
    <w:p>
      <w:pPr>
        <w:pStyle w:val="Style23"/>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keepNext w:val="true"/>
        <w:rPr>
          <w:sz w:val="22"/>
        </w:rPr>
      </w:pPr>
      <w:r>
        <w:rPr>
          <w:sz w:val="22"/>
        </w:rPr>
        <w:t>Каждый субподрядчик из привлекаемых Генеральным подрядчиком должен отвечать:</w:t>
      </w:r>
    </w:p>
    <w:p>
      <w:pPr>
        <w:pStyle w:val="Style23"/>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108"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108"/>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rPr>
          <w:sz w:val="22"/>
        </w:rPr>
      </w:pPr>
      <w:bookmarkStart w:id="109"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sz w:val="22"/>
        </w:rPr>
        <w:fldChar w:fldCharType="begin"/>
      </w:r>
      <w:r>
        <w:rPr>
          <w:sz w:val="22"/>
        </w:rPr>
        <w:instrText xml:space="preserve"> REF _Ref130308203 \r \h </w:instrText>
      </w:r>
      <w:r>
        <w:rPr>
          <w:sz w:val="22"/>
        </w:rPr>
        <w:fldChar w:fldCharType="separate"/>
      </w:r>
      <w:r>
        <w:rPr>
          <w:sz w:val="22"/>
        </w:rPr>
        <w:t>3.2</w:t>
      </w:r>
      <w:r>
        <w:rPr>
          <w:sz w:val="22"/>
        </w:rPr>
        <w:fldChar w:fldCharType="end"/>
      </w:r>
      <w:r>
        <w:rPr>
          <w:sz w:val="22"/>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109"/>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110" w:name="__RefHeading___Toc192525_1558056896"/>
      <w:bookmarkStart w:id="111" w:name="_Ref125361211"/>
      <w:bookmarkStart w:id="112" w:name="_Ref125367098"/>
      <w:bookmarkStart w:id="113" w:name="_Ref125367107"/>
      <w:bookmarkStart w:id="114" w:name="_Ref125367974"/>
      <w:bookmarkStart w:id="115" w:name="_Toc186224125"/>
      <w:bookmarkEnd w:id="110"/>
      <w:r>
        <w:rPr/>
        <w:t>Порядок проведения закупки</w:t>
      </w:r>
      <w:bookmarkEnd w:id="111"/>
      <w:bookmarkEnd w:id="112"/>
      <w:bookmarkEnd w:id="113"/>
      <w:bookmarkEnd w:id="114"/>
      <w:bookmarkEnd w:id="115"/>
    </w:p>
    <w:p>
      <w:pPr>
        <w:pStyle w:val="Style21"/>
        <w:rPr/>
      </w:pPr>
      <w:bookmarkStart w:id="116" w:name="__RefHeading___Toc192527_1558056896"/>
      <w:bookmarkStart w:id="117" w:name="_Ref126141932"/>
      <w:bookmarkStart w:id="118" w:name="_Toc186224126"/>
      <w:bookmarkEnd w:id="116"/>
      <w:r>
        <w:rPr/>
        <w:t>Общий порядок проведения закупки</w:t>
      </w:r>
      <w:bookmarkEnd w:id="117"/>
      <w:bookmarkEnd w:id="118"/>
    </w:p>
    <w:p>
      <w:pPr>
        <w:pStyle w:val="Style22"/>
        <w:keepNext w:val="true"/>
        <w:spacing w:before="120" w:after="120"/>
        <w:rPr/>
      </w:pPr>
      <w:r>
        <w:rPr/>
        <w:t>Закупка проводится в следующем порядке:</w:t>
      </w:r>
    </w:p>
    <w:tbl>
      <w:tblPr>
        <w:tblStyle w:val="af8"/>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6"/>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6"/>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3634" w:type="dxa"/>
            <w:gridSpan w:val="6"/>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Предзаявочное обсуждение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_Ref132724378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(по результатам Предзаявочного обсуждения Участниками могут быть поданы окончательные предложения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_Ref132722566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 в этом случае осуществляется открытие доступа к окончательным предложениям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_Ref132816209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bottom w:val="nil"/>
            </w:tcBorders>
            <w:vAlign w:val="bottom"/>
          </w:tcPr>
          <w:p>
            <w:pPr>
              <w:pStyle w:val="Style26"/>
              <w:widowControl w:val="false"/>
              <w:suppressAutoHyphens w:val="true"/>
              <w:spacing w:before="40" w:after="40"/>
              <w:jc w:val="center"/>
              <w:rPr>
                <w:bCs/>
                <w:sz w:val="24"/>
                <w:szCs w:val="24"/>
              </w:rPr>
            </w:pPr>
            <w:r>
              <w:rPr>
                <w:bCs/>
                <w:sz w:val="24"/>
                <w:szCs w:val="24"/>
              </w:rPr>
            </w:r>
          </w:p>
        </w:tc>
        <w:tc>
          <w:tcPr>
            <w:tcW w:w="9130" w:type="dxa"/>
            <w:gridSpan w:val="4"/>
            <w:tcBorders>
              <w:bottom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Обсуждение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_Ref132724398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bottom w:val="nil"/>
            </w:tcBorders>
            <w:vAlign w:val="bottom"/>
          </w:tcPr>
          <w:p>
            <w:pPr>
              <w:pStyle w:val="Style26"/>
              <w:widowControl w:val="false"/>
              <w:suppressAutoHyphens w:val="true"/>
              <w:spacing w:before="40" w:after="40"/>
              <w:jc w:val="center"/>
              <w:rPr>
                <w:bCs/>
                <w:sz w:val="24"/>
                <w:szCs w:val="24"/>
              </w:rPr>
            </w:pPr>
            <w:r>
              <w:rPr>
                <w:bCs/>
                <w:sz w:val="24"/>
                <w:szCs w:val="24"/>
              </w:rPr>
            </w:r>
          </w:p>
        </w:tc>
        <w:tc>
          <w:tcPr>
            <w:tcW w:w="9130" w:type="dxa"/>
            <w:gridSpan w:val="4"/>
            <w:tcBorders>
              <w:top w:val="dashed" w:sz="4" w:space="0" w:color="7F7F7F"/>
              <w:bottom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окончательных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_Ref132722566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op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окончательным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_Ref132816209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op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дополнительных ценовых предложений</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_Ref132801206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1"/>
        <w:rPr>
          <w:sz w:val="22"/>
        </w:rPr>
      </w:pPr>
      <w:bookmarkStart w:id="119" w:name="__RefHeading___Toc192529_1558056896"/>
      <w:bookmarkStart w:id="120" w:name="_Ref130286532"/>
      <w:bookmarkStart w:id="121" w:name="_Toc186224127"/>
      <w:bookmarkEnd w:id="119"/>
      <w:r>
        <w:rPr>
          <w:sz w:val="22"/>
        </w:rPr>
        <w:t>Официальное размещение Извещения и Документации о закупке</w:t>
      </w:r>
      <w:bookmarkEnd w:id="120"/>
      <w:bookmarkEnd w:id="121"/>
    </w:p>
    <w:p>
      <w:pPr>
        <w:pStyle w:val="Style22"/>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rPr>
          <w:sz w:val="22"/>
        </w:rPr>
      </w:pPr>
      <w:bookmarkStart w:id="122"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22"/>
    </w:p>
    <w:p>
      <w:pPr>
        <w:pStyle w:val="Style22"/>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sz w:val="22"/>
        </w:rPr>
      </w:pPr>
      <w:bookmarkStart w:id="123" w:name="__RefHeading___Toc192531_1558056896"/>
      <w:bookmarkStart w:id="124" w:name="_Toc186224129"/>
      <w:bookmarkStart w:id="125" w:name="_Ref130394681"/>
      <w:bookmarkStart w:id="126" w:name="_Ref130281199"/>
      <w:bookmarkEnd w:id="123"/>
      <w:r>
        <w:rPr>
          <w:sz w:val="22"/>
        </w:rPr>
        <w:t>Подготовка заявки</w:t>
      </w:r>
      <w:bookmarkEnd w:id="124"/>
      <w:bookmarkEnd w:id="125"/>
      <w:bookmarkEnd w:id="126"/>
    </w:p>
    <w:p>
      <w:pPr>
        <w:pStyle w:val="Style22"/>
        <w:rPr>
          <w:sz w:val="22"/>
        </w:rPr>
      </w:pPr>
      <w:r>
        <w:rPr>
          <w:sz w:val="22"/>
        </w:rPr>
        <w:t>Участник должен подготовить заявку с учетом требований Документации о закупке.</w:t>
      </w:r>
    </w:p>
    <w:p>
      <w:pPr>
        <w:pStyle w:val="Style22"/>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sz w:val="22"/>
          </w:rPr>
          <w:t>Приложение № 4</w:t>
        </w:r>
      </w:hyperlink>
      <w:r>
        <w:rPr>
          <w:sz w:val="22"/>
        </w:rPr>
        <w:t>.</w:t>
      </w:r>
    </w:p>
    <w:p>
      <w:pPr>
        <w:pStyle w:val="Style22"/>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27" w:name="_Hlk132886098"/>
      <w:r>
        <w:rPr>
          <w:sz w:val="22"/>
        </w:rPr>
        <w:t>первую часть, вторую часть и ценовое предложение</w:t>
      </w:r>
      <w:bookmarkEnd w:id="127"/>
      <w:r>
        <w:rPr>
          <w:sz w:val="22"/>
        </w:rPr>
        <w:t xml:space="preserve"> в соответствии с перечнем документов, входящих в каждую из частей, определенному </w:t>
      </w:r>
      <w:hyperlink w:anchor="Прил06_СоставЗаявки">
        <w:r>
          <w:rPr>
            <w:rStyle w:val="Style11"/>
            <w:sz w:val="22"/>
          </w:rPr>
          <w:t>Приложением № 6 – Состав заявки</w:t>
        </w:r>
      </w:hyperlink>
      <w:r>
        <w:rPr>
          <w:sz w:val="22"/>
        </w:rPr>
        <w:t>.</w:t>
      </w:r>
    </w:p>
    <w:p>
      <w:pPr>
        <w:pStyle w:val="Style22"/>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rPr>
          <w:sz w:val="22"/>
        </w:rPr>
      </w:pPr>
      <w:bookmarkStart w:id="128" w:name="_Ref130394854"/>
      <w:bookmarkStart w:id="129" w:name="_Ref125365866"/>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28"/>
      <w:bookmarkEnd w:id="129"/>
    </w:p>
    <w:p>
      <w:pPr>
        <w:pStyle w:val="Style22"/>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11"/>
            <w:sz w:val="22"/>
          </w:rPr>
          <w:t>Приложение № 4</w:t>
        </w:r>
      </w:hyperlink>
      <w:r>
        <w:rPr>
          <w:sz w:val="22"/>
        </w:rPr>
        <w:t>) может служить основанием для отклонения заявки.</w:t>
      </w:r>
    </w:p>
    <w:p>
      <w:pPr>
        <w:pStyle w:val="Style22"/>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rPr>
          <w:sz w:val="22"/>
        </w:rPr>
      </w:pPr>
      <w:bookmarkStart w:id="130" w:name="_Ref125370700"/>
      <w:bookmarkStart w:id="131" w:name="_Ref125370708"/>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2"/>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sz w:val="22"/>
          </w:rPr>
          <w:t>Техническими требованиями (Приложение № 1)</w:t>
        </w:r>
      </w:hyperlink>
      <w:r>
        <w:rPr>
          <w:sz w:val="22"/>
        </w:rPr>
        <w:t xml:space="preserve"> и </w:t>
      </w:r>
      <w:hyperlink w:anchor="Прил02_ПроектДоговора">
        <w:r>
          <w:rPr>
            <w:rStyle w:val="Style11"/>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30"/>
      <w:bookmarkEnd w:id="131"/>
    </w:p>
    <w:p>
      <w:pPr>
        <w:pStyle w:val="Style22"/>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3"/>
        <w:rPr>
          <w:sz w:val="22"/>
        </w:rPr>
      </w:pPr>
      <w:bookmarkStart w:id="132" w:name="_Ref125370398"/>
      <w:bookmarkStart w:id="133" w:name="_Ref125714384"/>
      <w:r>
        <w:rPr>
          <w:sz w:val="22"/>
        </w:rPr>
        <w:t>противоречия между документами заявки и сведениями, указанными Участником в структурированных формах на ЭП.</w:t>
      </w:r>
      <w:bookmarkEnd w:id="132"/>
      <w:bookmarkEnd w:id="133"/>
    </w:p>
    <w:p>
      <w:pPr>
        <w:pStyle w:val="Style22"/>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sz w:val="22"/>
        </w:rPr>
      </w:pPr>
      <w:r>
        <w:rPr>
          <w:sz w:val="22"/>
        </w:rPr>
        <w:t>полномочий таких органов / лиц на оформление этих документов;</w:t>
      </w:r>
    </w:p>
    <w:p>
      <w:pPr>
        <w:pStyle w:val="Style23"/>
        <w:rPr>
          <w:sz w:val="22"/>
        </w:rPr>
      </w:pPr>
      <w:r>
        <w:rPr>
          <w:sz w:val="22"/>
        </w:rPr>
        <w:t>формы, объема и содержания этих документов.</w:t>
      </w:r>
    </w:p>
    <w:p>
      <w:pPr>
        <w:pStyle w:val="Style22"/>
        <w:keepNext w:val="true"/>
        <w:rPr>
          <w:sz w:val="22"/>
        </w:rPr>
      </w:pPr>
      <w:r>
        <w:rPr>
          <w:sz w:val="22"/>
        </w:rPr>
        <w:t>Участник должен подготовить заявку с соблюдением следующих условий:</w:t>
      </w:r>
    </w:p>
    <w:p>
      <w:pPr>
        <w:pStyle w:val="Style23"/>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3"/>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rPr>
          <w:sz w:val="22"/>
        </w:rPr>
      </w:pPr>
      <w:r>
        <w:rPr>
          <w:sz w:val="22"/>
        </w:rPr>
        <w:t>все файлы не должны иметь защиты от их открытия, изменения, копирования их содержимого или их печати;</w:t>
      </w:r>
    </w:p>
    <w:p>
      <w:pPr>
        <w:pStyle w:val="Style23"/>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rPr>
          <w:sz w:val="22"/>
        </w:rPr>
      </w:pPr>
      <w:r>
        <w:rPr>
          <w:sz w:val="22"/>
        </w:rPr>
        <w:t>если какой-либо документ представлен в нечитаемом виде, данный документ считается непредставленным.</w:t>
      </w:r>
    </w:p>
    <w:p>
      <w:pPr>
        <w:pStyle w:val="Style22"/>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sz w:val="22"/>
        </w:rPr>
      </w:pPr>
      <w:bookmarkStart w:id="134" w:name="__RefHeading___Toc192533_1558056896"/>
      <w:bookmarkStart w:id="135" w:name="_Ref130394205"/>
      <w:bookmarkStart w:id="136" w:name="_Ref130394785"/>
      <w:bookmarkStart w:id="137" w:name="_Ref130394802"/>
      <w:bookmarkStart w:id="138" w:name="_Toc186224130"/>
      <w:bookmarkStart w:id="139" w:name="_Ref125361260"/>
      <w:bookmarkStart w:id="140" w:name="_Ref125362071"/>
      <w:bookmarkStart w:id="141" w:name="_Ref125366672"/>
      <w:bookmarkEnd w:id="134"/>
      <w:r>
        <w:rPr>
          <w:sz w:val="22"/>
        </w:rPr>
        <w:t>Разъяснение Документации о закупке</w:t>
      </w:r>
      <w:bookmarkEnd w:id="135"/>
      <w:bookmarkEnd w:id="136"/>
      <w:bookmarkEnd w:id="137"/>
      <w:bookmarkEnd w:id="138"/>
      <w:bookmarkEnd w:id="139"/>
      <w:bookmarkEnd w:id="140"/>
      <w:bookmarkEnd w:id="141"/>
    </w:p>
    <w:p>
      <w:pPr>
        <w:pStyle w:val="Style22"/>
        <w:rPr>
          <w:sz w:val="22"/>
        </w:rPr>
      </w:pPr>
      <w:r>
        <w:rPr>
          <w:sz w:val="22"/>
        </w:rPr>
        <w:t>Участники вправе обратиться к Организатору за разъяснениями Документации о закупке.</w:t>
      </w:r>
    </w:p>
    <w:p>
      <w:pPr>
        <w:pStyle w:val="Style22"/>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2"/>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sz w:val="22"/>
          </w:rPr>
          <w:t>Проекта договора (Приложения № 2)</w:t>
        </w:r>
      </w:hyperlink>
      <w:r>
        <w:rPr>
          <w:rStyle w:val="Style11"/>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sz w:val="22"/>
        </w:rPr>
      </w:pPr>
      <w:bookmarkStart w:id="142" w:name="__RefHeading___Toc192535_1558056896"/>
      <w:bookmarkStart w:id="143" w:name="_Toc186224131"/>
      <w:bookmarkStart w:id="144" w:name="_Ref125364404"/>
      <w:bookmarkStart w:id="145" w:name="_Ref125362076"/>
      <w:bookmarkStart w:id="146" w:name="_Ref125363891"/>
      <w:bookmarkEnd w:id="142"/>
      <w:r>
        <w:rPr>
          <w:sz w:val="22"/>
        </w:rPr>
        <w:t>Изменения Извещения и (или) Документации о закупке</w:t>
      </w:r>
      <w:bookmarkEnd w:id="143"/>
      <w:bookmarkEnd w:id="144"/>
      <w:bookmarkEnd w:id="145"/>
      <w:bookmarkEnd w:id="146"/>
    </w:p>
    <w:p>
      <w:pPr>
        <w:pStyle w:val="Style22"/>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3"/>
        <w:rPr>
          <w:sz w:val="22"/>
        </w:rPr>
      </w:pPr>
      <w:r>
        <w:rPr>
          <w:sz w:val="22"/>
        </w:rPr>
        <w:t>рассмотрения первых частей заявок / окончательных предложений;</w:t>
      </w:r>
    </w:p>
    <w:p>
      <w:pPr>
        <w:pStyle w:val="Style23"/>
        <w:rPr>
          <w:sz w:val="22"/>
        </w:rPr>
      </w:pPr>
      <w:r>
        <w:rPr>
          <w:sz w:val="22"/>
        </w:rPr>
        <w:t>рассмотрения вторых частей заявок и ценовых предложений;</w:t>
      </w:r>
    </w:p>
    <w:p>
      <w:pPr>
        <w:pStyle w:val="Style23"/>
        <w:rPr>
          <w:sz w:val="22"/>
        </w:rPr>
      </w:pPr>
      <w:r>
        <w:rPr>
          <w:sz w:val="22"/>
        </w:rPr>
        <w:t>проведения переторжки, если предусмотрен данный этап;</w:t>
      </w:r>
    </w:p>
    <w:p>
      <w:pPr>
        <w:pStyle w:val="Style23"/>
        <w:rPr>
          <w:sz w:val="22"/>
        </w:rPr>
      </w:pPr>
      <w:r>
        <w:rPr>
          <w:sz w:val="22"/>
        </w:rPr>
        <w:t>подведения итогов закупки;</w:t>
      </w:r>
    </w:p>
    <w:p>
      <w:pPr>
        <w:pStyle w:val="Style26"/>
        <w:ind w:left="1134" w:hanging="0"/>
        <w:rPr>
          <w:sz w:val="22"/>
        </w:rPr>
      </w:pPr>
      <w:bookmarkStart w:id="147" w:name="_Ref125550844"/>
      <w:r>
        <w:rPr>
          <w:sz w:val="22"/>
        </w:rPr>
        <w:t>в пределах срока действия заявок и с уведомлением Участников, подавших заявки.</w:t>
      </w:r>
      <w:bookmarkEnd w:id="147"/>
    </w:p>
    <w:p>
      <w:pPr>
        <w:pStyle w:val="Style22"/>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3"/>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2"/>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sz w:val="22"/>
        </w:rPr>
      </w:pPr>
      <w:bookmarkStart w:id="148" w:name="__RefHeading___Toc192537_1558056896"/>
      <w:bookmarkStart w:id="149" w:name="_Ref125362119"/>
      <w:bookmarkStart w:id="150" w:name="_Toc186224132"/>
      <w:bookmarkEnd w:id="148"/>
      <w:r>
        <w:rPr>
          <w:sz w:val="22"/>
        </w:rPr>
        <w:t>Подача заявок и их прием</w:t>
      </w:r>
      <w:bookmarkEnd w:id="149"/>
      <w:bookmarkEnd w:id="150"/>
    </w:p>
    <w:p>
      <w:pPr>
        <w:pStyle w:val="Style22"/>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2"/>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1"/>
        <w:rPr>
          <w:sz w:val="22"/>
        </w:rPr>
      </w:pPr>
      <w:bookmarkStart w:id="151" w:name="__RefHeading___Toc192539_1558056896"/>
      <w:bookmarkStart w:id="152" w:name="_Ref125362130"/>
      <w:bookmarkStart w:id="153" w:name="_Ref125362192"/>
      <w:bookmarkStart w:id="154" w:name="_Ref125363819"/>
      <w:bookmarkStart w:id="155" w:name="_Ref125365136"/>
      <w:bookmarkStart w:id="156" w:name="_Toc186224133"/>
      <w:bookmarkEnd w:id="151"/>
      <w:r>
        <w:rPr>
          <w:sz w:val="22"/>
        </w:rPr>
        <w:t>Изменение и отзыв заявок</w:t>
      </w:r>
      <w:bookmarkEnd w:id="152"/>
      <w:bookmarkEnd w:id="153"/>
      <w:bookmarkEnd w:id="154"/>
      <w:bookmarkEnd w:id="155"/>
      <w:bookmarkEnd w:id="156"/>
    </w:p>
    <w:p>
      <w:pPr>
        <w:pStyle w:val="Style22"/>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2"/>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1"/>
        <w:rPr>
          <w:sz w:val="22"/>
        </w:rPr>
      </w:pPr>
      <w:bookmarkStart w:id="157" w:name="__RefHeading___Toc192541_1558056896"/>
      <w:bookmarkStart w:id="158" w:name="_Ref132816188"/>
      <w:bookmarkStart w:id="159" w:name="_Toc186224134"/>
      <w:bookmarkEnd w:id="157"/>
      <w:r>
        <w:rPr>
          <w:sz w:val="22"/>
        </w:rPr>
        <w:t>Открытие доступа к первым частям заявок</w:t>
      </w:r>
      <w:bookmarkEnd w:id="158"/>
      <w:bookmarkEnd w:id="159"/>
    </w:p>
    <w:p>
      <w:pPr>
        <w:pStyle w:val="Style22"/>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1"/>
        <w:rPr>
          <w:sz w:val="22"/>
        </w:rPr>
      </w:pPr>
      <w:bookmarkStart w:id="160" w:name="__RefHeading___Toc192543_1558056896"/>
      <w:bookmarkStart w:id="161" w:name="_Toc186224138"/>
      <w:bookmarkStart w:id="162" w:name="_Ref125362364"/>
      <w:bookmarkStart w:id="163" w:name="_Ref125366689"/>
      <w:bookmarkEnd w:id="160"/>
      <w:r>
        <w:rPr>
          <w:sz w:val="22"/>
        </w:rPr>
        <w:t>Рассмотрение первых частей заявок / окончательных предложений (отборочная стадия)</w:t>
      </w:r>
      <w:bookmarkEnd w:id="161"/>
      <w:bookmarkEnd w:id="162"/>
      <w:bookmarkEnd w:id="163"/>
    </w:p>
    <w:p>
      <w:pPr>
        <w:pStyle w:val="Style22"/>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w:t>
      </w:r>
    </w:p>
    <w:p>
      <w:pPr>
        <w:pStyle w:val="Style22"/>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2"/>
        <w:keepNext w:val="true"/>
        <w:rPr>
          <w:sz w:val="22"/>
        </w:rPr>
      </w:pPr>
      <w:bookmarkStart w:id="164"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64"/>
    </w:p>
    <w:p>
      <w:pPr>
        <w:pStyle w:val="Style23"/>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3"/>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3"/>
        <w:rPr>
          <w:sz w:val="22"/>
        </w:rPr>
      </w:pPr>
      <w:r>
        <w:rPr>
          <w:sz w:val="22"/>
        </w:rPr>
        <w:t>несоответствие предлагаемых договорных условий требованиям Документации о закупке;</w:t>
      </w:r>
    </w:p>
    <w:p>
      <w:pPr>
        <w:pStyle w:val="Style23"/>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2"/>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идентификационные номера, присваиваемые Оператором ЭП;</w:t>
      </w:r>
    </w:p>
    <w:p>
      <w:pPr>
        <w:pStyle w:val="Style23"/>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65" w:name="__RefHeading___Toc192545_1558056896"/>
      <w:bookmarkStart w:id="166" w:name="_Ref132801184"/>
      <w:bookmarkStart w:id="167" w:name="_Toc186224139"/>
      <w:bookmarkEnd w:id="165"/>
      <w:r>
        <w:rPr>
          <w:sz w:val="22"/>
        </w:rPr>
        <w:t>Открытие доступа ко вторым частям заявок и ценовым предложениям</w:t>
      </w:r>
      <w:bookmarkEnd w:id="166"/>
      <w:bookmarkEnd w:id="167"/>
    </w:p>
    <w:p>
      <w:pPr>
        <w:pStyle w:val="Style22"/>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sz w:val="22"/>
        </w:rPr>
      </w:pPr>
      <w:bookmarkStart w:id="168" w:name="__RefHeading___Toc192547_1558056896"/>
      <w:bookmarkStart w:id="169" w:name="_Ref132797154"/>
      <w:bookmarkStart w:id="170" w:name="_Toc186224140"/>
      <w:bookmarkEnd w:id="168"/>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69"/>
      <w:bookmarkEnd w:id="170"/>
    </w:p>
    <w:p>
      <w:pPr>
        <w:pStyle w:val="Style22"/>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2"/>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3"/>
        <w:rPr>
          <w:sz w:val="22"/>
        </w:rPr>
      </w:pPr>
      <w:r>
        <w:rPr>
          <w:sz w:val="22"/>
        </w:rPr>
        <w:t>в результате суммирования единичных расценок;</w:t>
      </w:r>
    </w:p>
    <w:p>
      <w:pPr>
        <w:pStyle w:val="Style23"/>
        <w:rPr>
          <w:sz w:val="22"/>
        </w:rPr>
      </w:pPr>
      <w:r>
        <w:rPr>
          <w:sz w:val="22"/>
        </w:rPr>
        <w:t>в итогах умножения единичных расценок на объем продукции;</w:t>
      </w:r>
    </w:p>
    <w:p>
      <w:pPr>
        <w:pStyle w:val="Style23"/>
        <w:rPr>
          <w:sz w:val="22"/>
        </w:rPr>
      </w:pPr>
      <w:r>
        <w:rPr>
          <w:sz w:val="22"/>
        </w:rPr>
        <w:t>в вычислении суммы НДС и итоговой стоимости заявки с учетом НДС);</w:t>
      </w:r>
    </w:p>
    <w:p>
      <w:pPr>
        <w:pStyle w:val="Style23"/>
        <w:rPr>
          <w:sz w:val="22"/>
        </w:rPr>
      </w:pPr>
      <w:r>
        <w:rPr>
          <w:sz w:val="22"/>
        </w:rPr>
        <w:t>иных внутренних противоречий в составе заявки,</w:t>
      </w:r>
    </w:p>
    <w:p>
      <w:pPr>
        <w:pStyle w:val="Style26"/>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sz w:val="22"/>
        </w:rPr>
      </w:pPr>
      <w:bookmarkStart w:id="171"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71"/>
    </w:p>
    <w:p>
      <w:pPr>
        <w:pStyle w:val="Style23"/>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4"/>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3"/>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rPr>
          <w:sz w:val="22"/>
        </w:rPr>
      </w:pPr>
      <w:r>
        <w:rPr>
          <w:sz w:val="22"/>
        </w:rPr>
        <w:t>несоответствие Участников требованиям Документации о закупке;</w:t>
      </w:r>
    </w:p>
    <w:p>
      <w:pPr>
        <w:pStyle w:val="Style23"/>
        <w:rPr>
          <w:sz w:val="22"/>
        </w:rPr>
      </w:pPr>
      <w:r>
        <w:rPr>
          <w:sz w:val="22"/>
        </w:rPr>
        <w:t>несоответствие привлекаемых субподрядчиков (соисполнителей) требованиям Документации о закупке;</w:t>
      </w:r>
    </w:p>
    <w:p>
      <w:pPr>
        <w:pStyle w:val="Style23"/>
        <w:rPr>
          <w:sz w:val="22"/>
        </w:rPr>
      </w:pPr>
      <w:r>
        <w:rPr>
          <w:sz w:val="22"/>
        </w:rPr>
        <w:t>превышение ценового предложения над установленным размером НМЦ.</w:t>
      </w:r>
    </w:p>
    <w:p>
      <w:pPr>
        <w:pStyle w:val="Style22"/>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вторых частей заявок и ценовых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72" w:name="__RefHeading___Toc192549_1558056896"/>
      <w:bookmarkStart w:id="173" w:name="_Ref125362464"/>
      <w:bookmarkStart w:id="174" w:name="_Toc186224141"/>
      <w:bookmarkStart w:id="175" w:name="_Ref125362610"/>
      <w:bookmarkStart w:id="176" w:name="_Ref125362425"/>
      <w:bookmarkStart w:id="177" w:name="_Ref125362381"/>
      <w:bookmarkEnd w:id="172"/>
      <w:r>
        <w:rPr>
          <w:sz w:val="22"/>
        </w:rPr>
        <w:t>Дополнительные запросы разъяснений заявок</w:t>
      </w:r>
      <w:bookmarkEnd w:id="173"/>
      <w:bookmarkEnd w:id="174"/>
      <w:bookmarkEnd w:id="175"/>
      <w:bookmarkEnd w:id="176"/>
      <w:bookmarkEnd w:id="177"/>
    </w:p>
    <w:p>
      <w:pPr>
        <w:pStyle w:val="Style22"/>
        <w:rPr>
          <w:sz w:val="22"/>
        </w:rPr>
      </w:pPr>
      <w:bookmarkStart w:id="178"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8"/>
    </w:p>
    <w:p>
      <w:pPr>
        <w:pStyle w:val="Style23"/>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sz w:val="22"/>
        </w:rPr>
      </w:pPr>
      <w:r>
        <w:rPr>
          <w:sz w:val="22"/>
        </w:rPr>
        <w:t>соответствия Участника требованиям Документации о закупке;</w:t>
      </w:r>
    </w:p>
    <w:p>
      <w:pPr>
        <w:pStyle w:val="Style24"/>
        <w:rPr>
          <w:sz w:val="22"/>
        </w:rPr>
      </w:pPr>
      <w:bookmarkStart w:id="179" w:name="_Hlk132793683"/>
      <w:r>
        <w:rPr>
          <w:sz w:val="22"/>
        </w:rPr>
        <w:t>наличия соответствующих полномочий на подписание заявки от имени Участника у лица, подписавшего заявку</w:t>
      </w:r>
      <w:bookmarkEnd w:id="179"/>
      <w:r>
        <w:rPr>
          <w:sz w:val="22"/>
        </w:rPr>
        <w:t>;</w:t>
      </w:r>
    </w:p>
    <w:p>
      <w:pPr>
        <w:pStyle w:val="Style24"/>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3"/>
        <w:rPr>
          <w:sz w:val="22"/>
        </w:rPr>
      </w:pPr>
      <w:bookmarkStart w:id="180"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80"/>
    </w:p>
    <w:p>
      <w:pPr>
        <w:pStyle w:val="Style22"/>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2"/>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2"/>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1"/>
        <w:rPr>
          <w:sz w:val="22"/>
        </w:rPr>
      </w:pPr>
      <w:bookmarkStart w:id="181" w:name="__RefHeading___Toc192551_1558056896"/>
      <w:bookmarkStart w:id="182" w:name="_Ref125362626"/>
      <w:bookmarkStart w:id="183" w:name="_Ref125365335"/>
      <w:bookmarkStart w:id="184" w:name="_Ref125365519"/>
      <w:bookmarkStart w:id="185" w:name="_Ref125366534"/>
      <w:bookmarkStart w:id="186" w:name="_Ref125369041"/>
      <w:bookmarkStart w:id="187" w:name="_Ref125369308"/>
      <w:bookmarkStart w:id="188" w:name="_Toc186224144"/>
      <w:bookmarkEnd w:id="181"/>
      <w:r>
        <w:rPr>
          <w:sz w:val="22"/>
        </w:rPr>
        <w:t>Оценка и сопоставление заявок</w:t>
      </w:r>
      <w:bookmarkEnd w:id="182"/>
      <w:bookmarkEnd w:id="183"/>
      <w:bookmarkEnd w:id="184"/>
      <w:bookmarkEnd w:id="185"/>
      <w:bookmarkEnd w:id="186"/>
      <w:bookmarkEnd w:id="187"/>
      <w:bookmarkEnd w:id="188"/>
    </w:p>
    <w:p>
      <w:pPr>
        <w:pStyle w:val="Style22"/>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2"/>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2"/>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2"/>
        <w:rPr>
          <w:sz w:val="22"/>
        </w:rPr>
      </w:pPr>
      <w:r>
        <w:rPr>
          <w:sz w:val="22"/>
        </w:rPr>
        <w:t>Результаты оценки и сопоставления заявок указываются в итоговом протоколе по результатам закупки.</w:t>
      </w:r>
    </w:p>
    <w:p>
      <w:pPr>
        <w:pStyle w:val="Style21"/>
        <w:rPr>
          <w:sz w:val="22"/>
        </w:rPr>
      </w:pPr>
      <w:bookmarkStart w:id="189" w:name="__RefHeading___Toc192553_1558056896"/>
      <w:bookmarkStart w:id="190" w:name="_Ref186181253"/>
      <w:bookmarkStart w:id="191" w:name="_Ref132816300"/>
      <w:bookmarkStart w:id="192" w:name="_Toc186224145"/>
      <w:bookmarkStart w:id="193" w:name="_Ref130985951"/>
      <w:bookmarkStart w:id="194" w:name="_Ref125369991"/>
      <w:bookmarkStart w:id="195" w:name="_Ref130458671"/>
      <w:bookmarkStart w:id="196" w:name="_Ref125370507"/>
      <w:bookmarkStart w:id="197" w:name="_Ref125366064"/>
      <w:bookmarkEnd w:id="189"/>
      <w:r>
        <w:rPr>
          <w:sz w:val="22"/>
        </w:rPr>
        <w:t>Применение законодательства о национальном режиме</w:t>
      </w:r>
      <w:bookmarkEnd w:id="190"/>
      <w:bookmarkEnd w:id="191"/>
      <w:bookmarkEnd w:id="192"/>
      <w:bookmarkEnd w:id="193"/>
      <w:bookmarkEnd w:id="194"/>
      <w:bookmarkEnd w:id="195"/>
      <w:bookmarkEnd w:id="196"/>
      <w:bookmarkEnd w:id="197"/>
    </w:p>
    <w:p>
      <w:pPr>
        <w:pStyle w:val="Style22"/>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2"/>
        <w:rPr/>
      </w:pPr>
      <w:bookmarkStart w:id="198" w:name="__RefHeading___Toc179956_1558056896"/>
      <w:bookmarkEnd w:id="198"/>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sz w:val="22"/>
          </w:rPr>
          <w:t>Технических требованиях (Приложение № 1)</w:t>
        </w:r>
      </w:hyperlink>
      <w:r>
        <w:rPr>
          <w:sz w:val="22"/>
        </w:rPr>
        <w:t>.</w:t>
      </w:r>
    </w:p>
    <w:p>
      <w:pPr>
        <w:pStyle w:val="Style21"/>
        <w:rPr>
          <w:sz w:val="22"/>
        </w:rPr>
      </w:pPr>
      <w:bookmarkStart w:id="199" w:name="__RefHeading___Toc192555_1558056896"/>
      <w:bookmarkStart w:id="200" w:name="_Ref125367242"/>
      <w:bookmarkStart w:id="201" w:name="_Ref125366091"/>
      <w:bookmarkStart w:id="202" w:name="_Ref125362658"/>
      <w:bookmarkStart w:id="203" w:name="_Toc186224147"/>
      <w:bookmarkEnd w:id="199"/>
      <w:r>
        <w:rPr>
          <w:sz w:val="22"/>
        </w:rPr>
        <w:t>Подведение итогов закупки (определение Победителя)</w:t>
      </w:r>
      <w:bookmarkEnd w:id="200"/>
      <w:bookmarkEnd w:id="201"/>
      <w:bookmarkEnd w:id="202"/>
      <w:bookmarkEnd w:id="203"/>
    </w:p>
    <w:p>
      <w:pPr>
        <w:pStyle w:val="Style22"/>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rPr>
          <w:sz w:val="22"/>
        </w:rPr>
      </w:pPr>
      <w:bookmarkStart w:id="204"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204"/>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4"/>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sz w:val="22"/>
        </w:rPr>
      </w:pPr>
      <w:r>
        <w:rPr>
          <w:sz w:val="22"/>
        </w:rPr>
        <w:t>количества заявок, которые были отклонены;</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3"/>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3"/>
        <w:rPr>
          <w:sz w:val="22"/>
        </w:rPr>
      </w:pPr>
      <w:r>
        <w:rPr>
          <w:sz w:val="22"/>
        </w:rPr>
        <w:t>причины, по которым закупка признана несостоявшейся (в случае ее признания таковой),</w:t>
      </w:r>
    </w:p>
    <w:p>
      <w:pPr>
        <w:pStyle w:val="Style26"/>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2"/>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rPr>
          <w:sz w:val="22"/>
        </w:rPr>
      </w:pPr>
      <w:bookmarkStart w:id="205"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205"/>
    </w:p>
    <w:p>
      <w:pPr>
        <w:pStyle w:val="Style21"/>
        <w:rPr>
          <w:sz w:val="22"/>
        </w:rPr>
      </w:pPr>
      <w:bookmarkStart w:id="206" w:name="__RefHeading___Toc192557_1558056896"/>
      <w:bookmarkStart w:id="207" w:name="_Ref125366631"/>
      <w:bookmarkStart w:id="208" w:name="_Toc186224148"/>
      <w:bookmarkStart w:id="209" w:name="_Ref125366796"/>
      <w:bookmarkStart w:id="210" w:name="_Ref125365570"/>
      <w:bookmarkStart w:id="211" w:name="_Ref125365305"/>
      <w:bookmarkStart w:id="212" w:name="_Ref125364187"/>
      <w:bookmarkStart w:id="213" w:name="_Ref125364149"/>
      <w:bookmarkEnd w:id="206"/>
      <w:r>
        <w:rPr>
          <w:sz w:val="22"/>
        </w:rPr>
        <w:t>Признание закупки несостоявшейся</w:t>
      </w:r>
      <w:bookmarkEnd w:id="207"/>
      <w:bookmarkEnd w:id="208"/>
      <w:bookmarkEnd w:id="209"/>
      <w:bookmarkEnd w:id="210"/>
      <w:bookmarkEnd w:id="211"/>
      <w:bookmarkEnd w:id="212"/>
      <w:bookmarkEnd w:id="213"/>
    </w:p>
    <w:p>
      <w:pPr>
        <w:pStyle w:val="Style22"/>
        <w:keepNext w:val="true"/>
        <w:rPr>
          <w:sz w:val="22"/>
        </w:rPr>
      </w:pPr>
      <w:r>
        <w:rPr>
          <w:sz w:val="22"/>
        </w:rPr>
        <w:t>Закупка признается несостоявшейся в следующих случаях:</w:t>
      </w:r>
    </w:p>
    <w:p>
      <w:pPr>
        <w:pStyle w:val="Style23"/>
        <w:rPr>
          <w:sz w:val="22"/>
        </w:rPr>
      </w:pPr>
      <w:r>
        <w:rPr>
          <w:sz w:val="22"/>
        </w:rPr>
        <w:t>если по окончанию срока подачи заявок поступило менее 2 (двух) заявок (с учетом возможных отзывов заявок);</w:t>
      </w:r>
    </w:p>
    <w:p>
      <w:pPr>
        <w:pStyle w:val="Style23"/>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2"/>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3"/>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3"/>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3"/>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1"/>
        <w:rPr>
          <w:sz w:val="22"/>
        </w:rPr>
      </w:pPr>
      <w:bookmarkStart w:id="214" w:name="__RefHeading___Toc192559_1558056896"/>
      <w:bookmarkStart w:id="215" w:name="_Ref132816134"/>
      <w:bookmarkStart w:id="216" w:name="_Ref132816141"/>
      <w:bookmarkStart w:id="217" w:name="_Toc186224149"/>
      <w:bookmarkStart w:id="218" w:name="_Ref126141962"/>
      <w:bookmarkEnd w:id="214"/>
      <w:r>
        <w:rPr>
          <w:sz w:val="22"/>
        </w:rPr>
        <w:t>Отказ от проведения закупки</w:t>
      </w:r>
      <w:bookmarkEnd w:id="218"/>
      <w:r>
        <w:rPr>
          <w:sz w:val="22"/>
        </w:rPr>
        <w:t xml:space="preserve"> (отмена закупки)</w:t>
      </w:r>
      <w:bookmarkEnd w:id="215"/>
      <w:bookmarkEnd w:id="216"/>
      <w:bookmarkEnd w:id="217"/>
    </w:p>
    <w:p>
      <w:pPr>
        <w:pStyle w:val="Style22"/>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sz w:val="22"/>
        </w:rPr>
      </w:pPr>
      <w:bookmarkStart w:id="219" w:name="__RefHeading___Toc192561_1558056896"/>
      <w:bookmarkStart w:id="220" w:name="_Toc186224150"/>
      <w:bookmarkStart w:id="221" w:name="_Ref130455226"/>
      <w:bookmarkEnd w:id="219"/>
      <w:r>
        <w:rPr>
          <w:sz w:val="22"/>
        </w:rPr>
        <w:t>Особенности проведения закупки с необходимостью обеспечения заявки</w:t>
      </w:r>
      <w:bookmarkEnd w:id="220"/>
      <w:bookmarkEnd w:id="221"/>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2"/>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sz w:val="22"/>
        </w:rPr>
      </w:pPr>
      <w:r>
        <w:rPr>
          <w:sz w:val="22"/>
        </w:rPr>
        <w:t>независимая гарантия должна быть безотзывной и безусловной (гарантия по первому требованию);</w:t>
      </w:r>
    </w:p>
    <w:p>
      <w:pPr>
        <w:pStyle w:val="Style23"/>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3"/>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3"/>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rPr>
          <w:sz w:val="22"/>
        </w:rPr>
      </w:pPr>
      <w:bookmarkStart w:id="222" w:name="_Ref132716380"/>
      <w:r>
        <w:rPr>
          <w:sz w:val="22"/>
        </w:rPr>
        <w:t>независимая гарантия должна быть выдана организацией из числа указанных в части 1 статьи 45 Закона 44-ФЗ;</w:t>
      </w:r>
      <w:bookmarkEnd w:id="222"/>
    </w:p>
    <w:p>
      <w:pPr>
        <w:pStyle w:val="Style23"/>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2"/>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2"/>
        <w:rPr>
          <w:sz w:val="22"/>
        </w:rPr>
      </w:pPr>
      <w:r>
        <w:rPr>
          <w:sz w:val="22"/>
        </w:rPr>
        <w:t>Требование об обеспечении заявки в равной мере распространяется на всех Участников.</w:t>
      </w:r>
    </w:p>
    <w:p>
      <w:pPr>
        <w:pStyle w:val="Style22"/>
        <w:keepNext w:val="true"/>
        <w:rPr>
          <w:sz w:val="22"/>
        </w:rPr>
      </w:pPr>
      <w:bookmarkStart w:id="223"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3"/>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3"/>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sz w:val="22"/>
          </w:rPr>
          <w:t>Проектом договора</w:t>
        </w:r>
      </w:hyperlink>
      <w:r>
        <w:rPr>
          <w:sz w:val="22"/>
        </w:rPr>
        <w:t>).</w:t>
      </w:r>
    </w:p>
    <w:p>
      <w:pPr>
        <w:pStyle w:val="Style22"/>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3"/>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rPr>
          <w:sz w:val="22"/>
        </w:rPr>
      </w:pPr>
      <w:r>
        <w:rPr>
          <w:sz w:val="22"/>
        </w:rPr>
        <w:t>официального размещения итогового протокола по результатам закупки – всем Участникам, кроме Победителя;</w:t>
      </w:r>
    </w:p>
    <w:p>
      <w:pPr>
        <w:pStyle w:val="Style23"/>
        <w:rPr>
          <w:sz w:val="22"/>
        </w:rPr>
      </w:pPr>
      <w:r>
        <w:rPr>
          <w:sz w:val="22"/>
        </w:rPr>
        <w:t>заключения Договора по результатам закупки – Победителю, с которым заключен Договор;</w:t>
      </w:r>
    </w:p>
    <w:p>
      <w:pPr>
        <w:pStyle w:val="Style23"/>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2"/>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1"/>
        <w:rPr>
          <w:sz w:val="22"/>
        </w:rPr>
      </w:pPr>
      <w:bookmarkStart w:id="224" w:name="__RefHeading___Toc192563_1558056896"/>
      <w:bookmarkStart w:id="225" w:name="_Ref149317133"/>
      <w:bookmarkStart w:id="226" w:name="_Toc186224151"/>
      <w:bookmarkStart w:id="227" w:name="_Ref130225422"/>
      <w:bookmarkEnd w:id="224"/>
      <w:r>
        <w:rPr>
          <w:sz w:val="22"/>
        </w:rPr>
        <w:t>Особенности проведения многолотовой закупки</w:t>
      </w:r>
      <w:bookmarkEnd w:id="225"/>
      <w:bookmarkEnd w:id="226"/>
      <w:bookmarkEnd w:id="227"/>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2"/>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2"/>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3"/>
        <w:rPr/>
      </w:pPr>
      <w:r>
        <w:rPr>
          <w:sz w:val="22"/>
        </w:rPr>
        <w:t>Письмо о подаче оферты (форма 2) (</w:t>
      </w:r>
      <w:hyperlink w:anchor="Прил04_ФормыЗаявки">
        <w:r>
          <w:rPr>
            <w:rStyle w:val="Style11"/>
            <w:sz w:val="22"/>
          </w:rPr>
          <w:t>Приложение № 4</w:t>
        </w:r>
      </w:hyperlink>
      <w:r>
        <w:rPr>
          <w:sz w:val="22"/>
        </w:rPr>
        <w:t>) должно содержать указание номера и названия каждого лота;</w:t>
      </w:r>
    </w:p>
    <w:p>
      <w:pPr>
        <w:pStyle w:val="Style23"/>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2"/>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9"/>
        <w:keepNext w:val="true"/>
        <w:rPr/>
      </w:pPr>
      <w:r>
        <w:rPr/>
      </w:r>
    </w:p>
    <w:p>
      <w:pPr>
        <w:pStyle w:val="Style20"/>
        <w:rPr>
          <w:sz w:val="22"/>
        </w:rPr>
      </w:pPr>
      <w:bookmarkStart w:id="228" w:name="__RefHeading___Toc192565_1558056896"/>
      <w:bookmarkStart w:id="229" w:name="_Ref126142429"/>
      <w:bookmarkStart w:id="230" w:name="_Ref130224037"/>
      <w:bookmarkStart w:id="231" w:name="_Toc186224153"/>
      <w:bookmarkStart w:id="232" w:name="_Ref125367087"/>
      <w:bookmarkStart w:id="233" w:name="_Ref125367083"/>
      <w:bookmarkStart w:id="234" w:name="_Ref125366769"/>
      <w:bookmarkStart w:id="235" w:name="_Ref125362671"/>
      <w:bookmarkStart w:id="236" w:name="_Ref125361212"/>
      <w:bookmarkStart w:id="237" w:name="_Ref125363439"/>
      <w:bookmarkEnd w:id="228"/>
      <w:r>
        <w:rPr>
          <w:sz w:val="22"/>
        </w:rPr>
        <w:t>Порядок заключения Договора</w:t>
      </w:r>
      <w:bookmarkEnd w:id="229"/>
      <w:bookmarkEnd w:id="230"/>
      <w:bookmarkEnd w:id="231"/>
      <w:bookmarkEnd w:id="232"/>
      <w:bookmarkEnd w:id="233"/>
      <w:bookmarkEnd w:id="234"/>
      <w:bookmarkEnd w:id="235"/>
      <w:bookmarkEnd w:id="236"/>
      <w:bookmarkEnd w:id="237"/>
    </w:p>
    <w:p>
      <w:pPr>
        <w:pStyle w:val="Style21"/>
        <w:rPr>
          <w:sz w:val="22"/>
        </w:rPr>
      </w:pPr>
      <w:bookmarkStart w:id="238" w:name="__RefHeading___Toc192567_1558056896"/>
      <w:bookmarkStart w:id="239" w:name="_Toc186224154"/>
      <w:bookmarkEnd w:id="238"/>
      <w:r>
        <w:rPr>
          <w:sz w:val="22"/>
        </w:rPr>
        <w:t>Общие положения</w:t>
      </w:r>
      <w:bookmarkEnd w:id="239"/>
    </w:p>
    <w:p>
      <w:pPr>
        <w:pStyle w:val="Style22"/>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sz w:val="22"/>
        </w:rPr>
      </w:pPr>
      <w:bookmarkStart w:id="240" w:name="__RefHeading___Toc192569_1558056896"/>
      <w:bookmarkStart w:id="241" w:name="_Ref138341423"/>
      <w:bookmarkStart w:id="242" w:name="_Toc186224155"/>
      <w:bookmarkStart w:id="243" w:name="_Ref125366947"/>
      <w:bookmarkStart w:id="244" w:name="_Ref125368755"/>
      <w:bookmarkEnd w:id="240"/>
      <w:r>
        <w:rPr>
          <w:sz w:val="22"/>
        </w:rPr>
        <w:t>Заключение Договора</w:t>
      </w:r>
      <w:bookmarkEnd w:id="241"/>
      <w:bookmarkEnd w:id="242"/>
      <w:bookmarkEnd w:id="243"/>
      <w:bookmarkEnd w:id="244"/>
    </w:p>
    <w:p>
      <w:pPr>
        <w:pStyle w:val="Style22"/>
        <w:rPr>
          <w:sz w:val="22"/>
        </w:rPr>
      </w:pPr>
      <w:bookmarkStart w:id="245" w:name="_Ref130293821"/>
      <w:bookmarkStart w:id="246" w:name="_Ref125362935"/>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45"/>
      <w:bookmarkEnd w:id="246"/>
    </w:p>
    <w:p>
      <w:pPr>
        <w:pStyle w:val="Style22"/>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2"/>
        <w:rPr/>
      </w:pPr>
      <w:bookmarkStart w:id="247"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47"/>
    </w:p>
    <w:p>
      <w:pPr>
        <w:pStyle w:val="Style22"/>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2"/>
        <w:keepNext w:val="true"/>
        <w:rPr/>
      </w:pPr>
      <w:bookmarkStart w:id="248"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11"/>
            <w:sz w:val="22"/>
          </w:rPr>
          <w:t>Приложение № 3</w:t>
        </w:r>
      </w:hyperlink>
      <w:r>
        <w:rPr>
          <w:sz w:val="22"/>
        </w:rPr>
        <w:t xml:space="preserve">), следующие документы (скан-копии в формате </w:t>
      </w:r>
      <w:r>
        <w:rPr>
          <w:sz w:val="22"/>
          <w:lang w:val="en-US"/>
        </w:rPr>
        <w:t>pdf</w:t>
      </w:r>
      <w:r>
        <w:rPr>
          <w:sz w:val="22"/>
        </w:rPr>
        <w:t>)</w:t>
      </w:r>
      <w:r>
        <w:rPr>
          <w:rStyle w:val="FootnoteReference"/>
          <w:sz w:val="22"/>
        </w:rPr>
        <w:footnoteReference w:id="12"/>
      </w:r>
      <w:r>
        <w:rPr>
          <w:sz w:val="22"/>
        </w:rPr>
        <w:t>:</w:t>
      </w:r>
      <w:bookmarkEnd w:id="248"/>
    </w:p>
    <w:p>
      <w:pPr>
        <w:pStyle w:val="Style23"/>
        <w:keepNext w:val="true"/>
        <w:rPr>
          <w:sz w:val="22"/>
        </w:rPr>
      </w:pPr>
      <w:r>
        <w:rPr>
          <w:sz w:val="22"/>
        </w:rPr>
        <w:t>для юридического лица:</w:t>
      </w:r>
    </w:p>
    <w:p>
      <w:pPr>
        <w:pStyle w:val="Style24"/>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4"/>
        <w:rPr>
          <w:sz w:val="22"/>
        </w:rPr>
      </w:pPr>
      <w:bookmarkStart w:id="249"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49"/>
    </w:p>
    <w:p>
      <w:pPr>
        <w:pStyle w:val="Style24"/>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3"/>
        <w:rPr>
          <w:sz w:val="22"/>
        </w:rPr>
      </w:pPr>
      <w:bookmarkStart w:id="250" w:name="_Ref125361554"/>
      <w:r>
        <w:rPr>
          <w:sz w:val="22"/>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sz w:val="22"/>
        </w:rPr>
        <w:fldChar w:fldCharType="begin"/>
      </w:r>
      <w:r>
        <w:rPr>
          <w:sz w:val="22"/>
        </w:rPr>
        <w:instrText xml:space="preserve"> REF _Ref125366972 \r \h </w:instrText>
      </w:r>
      <w:r>
        <w:rPr>
          <w:sz w:val="22"/>
        </w:rPr>
        <w:fldChar w:fldCharType="separate"/>
      </w:r>
      <w:r>
        <w:rPr>
          <w:sz w:val="22"/>
        </w:rPr>
        <w:t>3.2.3</w:t>
      </w:r>
      <w:r>
        <w:rPr>
          <w:sz w:val="22"/>
        </w:rPr>
        <w:fldChar w:fldCharType="end"/>
      </w:r>
      <w:r>
        <w:rPr>
          <w:sz w:val="22"/>
        </w:rPr>
        <w:t>.</w:t>
      </w:r>
      <w:bookmarkEnd w:id="250"/>
    </w:p>
    <w:p>
      <w:pPr>
        <w:pStyle w:val="Style22"/>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rPr>
          <w:sz w:val="22"/>
        </w:rPr>
      </w:pPr>
      <w:bookmarkStart w:id="251"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51"/>
    </w:p>
    <w:p>
      <w:pPr>
        <w:pStyle w:val="Style23"/>
        <w:rPr>
          <w:sz w:val="22"/>
        </w:rPr>
      </w:pPr>
      <w:r>
        <w:rPr>
          <w:sz w:val="22"/>
        </w:rPr>
        <w:t>итоговый протокол по результатам закупки;</w:t>
      </w:r>
    </w:p>
    <w:p>
      <w:pPr>
        <w:pStyle w:val="Style23"/>
        <w:rPr>
          <w:sz w:val="22"/>
        </w:rPr>
      </w:pPr>
      <w:r>
        <w:rPr>
          <w:sz w:val="22"/>
        </w:rPr>
        <w:t>Извещение и Документация о закупке со всеми изменениями;</w:t>
      </w:r>
    </w:p>
    <w:p>
      <w:pPr>
        <w:pStyle w:val="Style23"/>
        <w:rPr>
          <w:sz w:val="22"/>
        </w:rPr>
      </w:pPr>
      <w:r>
        <w:rPr>
          <w:sz w:val="22"/>
        </w:rPr>
        <w:t>заявка Победителя со всеми дополнениями и разъяснениями.</w:t>
      </w:r>
    </w:p>
    <w:p>
      <w:pPr>
        <w:pStyle w:val="Style22"/>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rPr>
          <w:sz w:val="22"/>
        </w:rPr>
      </w:pPr>
      <w:bookmarkStart w:id="252"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52"/>
    </w:p>
    <w:p>
      <w:pPr>
        <w:pStyle w:val="Style22"/>
        <w:rPr>
          <w:sz w:val="22"/>
        </w:rPr>
      </w:pPr>
      <w:bookmarkStart w:id="253"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54"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54"/>
      <w:r>
        <w:rPr>
          <w:sz w:val="22"/>
        </w:rPr>
        <w:t>.</w:t>
      </w:r>
      <w:bookmarkEnd w:id="253"/>
    </w:p>
    <w:p>
      <w:pPr>
        <w:pStyle w:val="Style22"/>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sz w:val="22"/>
        </w:rPr>
      </w:pPr>
      <w:bookmarkStart w:id="255" w:name="__RefHeading___Toc192571_1558056896"/>
      <w:bookmarkStart w:id="256" w:name="_Ref125367068"/>
      <w:bookmarkStart w:id="257" w:name="_Toc186224156"/>
      <w:bookmarkEnd w:id="255"/>
      <w:r>
        <w:rPr>
          <w:sz w:val="22"/>
        </w:rPr>
        <w:t>Уклонение Победителя от заключения Договора</w:t>
      </w:r>
      <w:bookmarkEnd w:id="256"/>
      <w:bookmarkEnd w:id="257"/>
    </w:p>
    <w:p>
      <w:pPr>
        <w:pStyle w:val="Style22"/>
        <w:keepNext w:val="true"/>
        <w:rPr>
          <w:sz w:val="22"/>
        </w:rPr>
      </w:pPr>
      <w:r>
        <w:rPr>
          <w:sz w:val="22"/>
        </w:rPr>
        <w:t>Если Победитель закупки:</w:t>
      </w:r>
    </w:p>
    <w:p>
      <w:pPr>
        <w:pStyle w:val="Style23"/>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3"/>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3"/>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sz w:val="22"/>
          </w:rPr>
          <w:t>Приложение № 5</w:t>
        </w:r>
      </w:hyperlink>
      <w:r>
        <w:rPr>
          <w:sz w:val="22"/>
        </w:rPr>
        <w:t>), с приложением подтверждающих документов;</w:t>
      </w:r>
    </w:p>
    <w:p>
      <w:pPr>
        <w:pStyle w:val="Style23"/>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3"/>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sz w:val="22"/>
          </w:rPr>
          <w:t>Приложения № 1 – Технические требования</w:t>
        </w:r>
      </w:hyperlink>
      <w:r>
        <w:rPr>
          <w:sz w:val="22"/>
        </w:rPr>
        <w:t xml:space="preserve"> (в случае установления таковых);</w:t>
      </w:r>
    </w:p>
    <w:p>
      <w:pPr>
        <w:pStyle w:val="Style23"/>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rPr>
          <w:sz w:val="22"/>
        </w:rPr>
      </w:pPr>
      <w:r>
        <w:rPr>
          <w:sz w:val="22"/>
        </w:rPr>
        <w:t>не выполнит другие условия, прямо предусмотренные Документацией о закупке,</w:t>
      </w:r>
    </w:p>
    <w:p>
      <w:pPr>
        <w:pStyle w:val="Style26"/>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rPr>
          <w:sz w:val="22"/>
        </w:rPr>
      </w:pPr>
      <w:bookmarkStart w:id="258" w:name="__RefHeading___Toc192573_1558056896"/>
      <w:bookmarkStart w:id="259" w:name="Прил01_ТехТребования"/>
      <w:bookmarkStart w:id="260" w:name="_Ref125370843"/>
      <w:bookmarkStart w:id="261" w:name="_Ref125370750"/>
      <w:bookmarkStart w:id="262" w:name="_Ref125370746"/>
      <w:bookmarkStart w:id="263" w:name="_Ref125370741"/>
      <w:bookmarkStart w:id="264" w:name="_Ref125370732"/>
      <w:bookmarkStart w:id="265" w:name="_Ref125364201"/>
      <w:bookmarkStart w:id="266" w:name="_Ref125364088"/>
      <w:bookmarkStart w:id="267" w:name="_Ref125363752"/>
      <w:bookmarkStart w:id="268" w:name="_Ref125363600"/>
      <w:bookmarkStart w:id="269" w:name="_Ref125363034"/>
      <w:bookmarkStart w:id="270" w:name="_Ref125363023"/>
      <w:bookmarkStart w:id="271" w:name="_Ref125363016"/>
      <w:bookmarkStart w:id="272" w:name="_Toc186224157"/>
      <w:bookmarkEnd w:id="258"/>
      <w:r>
        <w:rPr>
          <w:sz w:val="22"/>
        </w:rPr>
        <w:t>Приложение № 1 – Технические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Style21"/>
        <w:rPr>
          <w:sz w:val="22"/>
        </w:rPr>
      </w:pPr>
      <w:bookmarkStart w:id="273" w:name="__RefHeading___Toc192575_1558056896"/>
      <w:bookmarkStart w:id="274" w:name="_Toc186224158"/>
      <w:bookmarkEnd w:id="273"/>
      <w:r>
        <w:rPr>
          <w:sz w:val="22"/>
        </w:rPr>
        <w:t>Пояснения к Техническим требованиям</w:t>
      </w:r>
      <w:bookmarkEnd w:id="274"/>
    </w:p>
    <w:p>
      <w:pPr>
        <w:pStyle w:val="Style22"/>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rPr>
          <w:sz w:val="22"/>
        </w:rPr>
      </w:pPr>
      <w:bookmarkStart w:id="275" w:name="__RefHeading___Toc192577_1558056896"/>
      <w:bookmarkStart w:id="276" w:name="_Toc186224159"/>
      <w:bookmarkStart w:id="277" w:name="Прил02_ПроектДоговора"/>
      <w:bookmarkStart w:id="278" w:name="_Ref125370754"/>
      <w:bookmarkStart w:id="279" w:name="_Ref125364206"/>
      <w:bookmarkStart w:id="280" w:name="_Ref125363759"/>
      <w:bookmarkStart w:id="281" w:name="_Ref125363605"/>
      <w:bookmarkStart w:id="282" w:name="_Ref125363040"/>
      <w:bookmarkStart w:id="283" w:name="_Ref125361746"/>
      <w:bookmarkStart w:id="284" w:name="_Ref125364081"/>
      <w:bookmarkEnd w:id="275"/>
      <w:r>
        <w:rPr>
          <w:sz w:val="22"/>
        </w:rPr>
        <w:t>Приложение № 2 – Проект договора</w:t>
      </w:r>
      <w:bookmarkEnd w:id="276"/>
      <w:bookmarkEnd w:id="277"/>
      <w:bookmarkEnd w:id="278"/>
      <w:bookmarkEnd w:id="279"/>
      <w:bookmarkEnd w:id="280"/>
      <w:bookmarkEnd w:id="281"/>
      <w:bookmarkEnd w:id="282"/>
      <w:bookmarkEnd w:id="283"/>
      <w:bookmarkEnd w:id="284"/>
    </w:p>
    <w:p>
      <w:pPr>
        <w:pStyle w:val="Style21"/>
        <w:rPr>
          <w:sz w:val="22"/>
        </w:rPr>
      </w:pPr>
      <w:bookmarkStart w:id="285" w:name="__RefHeading___Toc192579_1558056896"/>
      <w:bookmarkStart w:id="286" w:name="_Toc186224160"/>
      <w:bookmarkEnd w:id="285"/>
      <w:r>
        <w:rPr>
          <w:sz w:val="22"/>
        </w:rPr>
        <w:t>Пояснения к Проекту договора</w:t>
      </w:r>
      <w:bookmarkEnd w:id="286"/>
    </w:p>
    <w:p>
      <w:pPr>
        <w:pStyle w:val="Style22"/>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2"/>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87" w:name="_MON_1736255517"/>
      <w:bookmarkEnd w:id="287"/>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8.75pt;height:48.75pt;mso-wrap-distance-right:0pt" filled="f" o:ole="">
            <v:imagedata r:id="rId14" o:title=""/>
          </v:shape>
          <o:OLEObject Type="Embed" ProgID="Word.Document.12" ShapeID="ole_rId13" DrawAspect="Icon" ObjectID="_2006175648" r:id="rId13"/>
        </w:object>
      </w:r>
    </w:p>
    <w:p>
      <w:pPr>
        <w:pStyle w:val="Style20"/>
        <w:rPr>
          <w:sz w:val="22"/>
        </w:rPr>
      </w:pPr>
      <w:bookmarkStart w:id="288" w:name="__RefHeading___Toc192581_1558056896"/>
      <w:bookmarkStart w:id="289" w:name="_Toc186224161"/>
      <w:bookmarkStart w:id="290" w:name="Прил03_ТребованияУчастникам"/>
      <w:bookmarkStart w:id="291" w:name="_Ref125370013"/>
      <w:bookmarkStart w:id="292" w:name="_Ref125365476"/>
      <w:bookmarkStart w:id="293" w:name="_Ref125361494"/>
      <w:bookmarkStart w:id="294" w:name="_Ref125361908"/>
      <w:bookmarkEnd w:id="288"/>
      <w:r>
        <w:rPr>
          <w:sz w:val="22"/>
        </w:rPr>
        <w:t>Приложение № 3 – Требования к Участникам</w:t>
      </w:r>
      <w:bookmarkEnd w:id="289"/>
      <w:bookmarkEnd w:id="290"/>
      <w:bookmarkEnd w:id="291"/>
      <w:bookmarkEnd w:id="292"/>
      <w:bookmarkEnd w:id="293"/>
      <w:bookmarkEnd w:id="294"/>
    </w:p>
    <w:p>
      <w:pPr>
        <w:pStyle w:val="Style21"/>
        <w:rPr>
          <w:sz w:val="22"/>
        </w:rPr>
      </w:pPr>
      <w:bookmarkStart w:id="295" w:name="__RefHeading___Toc192583_1558056896"/>
      <w:bookmarkStart w:id="296" w:name="_Toc186224162"/>
      <w:bookmarkEnd w:id="295"/>
      <w:r>
        <w:rPr>
          <w:sz w:val="22"/>
        </w:rPr>
        <w:t>Пояснения к требованиям к Участникам</w:t>
      </w:r>
      <w:bookmarkEnd w:id="296"/>
    </w:p>
    <w:p>
      <w:pPr>
        <w:pStyle w:val="Style22"/>
        <w:rPr>
          <w:sz w:val="22"/>
        </w:rPr>
      </w:pPr>
      <w:bookmarkStart w:id="297" w:name="_Hlk125628168"/>
      <w:r>
        <w:rPr>
          <w:sz w:val="22"/>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97"/>
    </w:p>
    <w:p>
      <w:pPr>
        <w:pStyle w:val="Style21"/>
        <w:spacing w:before="360" w:after="120"/>
        <w:rPr>
          <w:sz w:val="22"/>
        </w:rPr>
      </w:pPr>
      <w:bookmarkStart w:id="298" w:name="__RefHeading___Toc192585_1558056896"/>
      <w:bookmarkStart w:id="299" w:name="_Toc186224163"/>
      <w:bookmarkStart w:id="300" w:name="_Ref125370071"/>
      <w:bookmarkStart w:id="301" w:name="_Ref125370064"/>
      <w:bookmarkStart w:id="302" w:name="_Ref125370058"/>
      <w:bookmarkStart w:id="303" w:name="_Ref125369088"/>
      <w:bookmarkStart w:id="304" w:name="_Ref125368895"/>
      <w:bookmarkStart w:id="305" w:name="_Ref125368812"/>
      <w:bookmarkStart w:id="306" w:name="_Ref125361926"/>
      <w:bookmarkStart w:id="307" w:name="_Ref125361846"/>
      <w:bookmarkStart w:id="308" w:name="_Ref125361832"/>
      <w:bookmarkStart w:id="309" w:name="_Ref125361617"/>
      <w:bookmarkStart w:id="310" w:name="_Ref125361590"/>
      <w:bookmarkStart w:id="311" w:name="_Ref125361435"/>
      <w:bookmarkStart w:id="312" w:name="_Ref125366879"/>
      <w:bookmarkEnd w:id="298"/>
      <w:r>
        <w:rPr>
          <w:sz w:val="22"/>
        </w:rPr>
        <w:t>Обязательные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3" w:name="_Ref125552433"/>
            <w:bookmarkStart w:id="314" w:name="_Ref125552433"/>
            <w:bookmarkEnd w:id="314"/>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6"/>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5" w:name="_Ref132893662"/>
            <w:bookmarkStart w:id="316" w:name="_Ref132893662"/>
            <w:bookmarkEnd w:id="316"/>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7" w:name="_Ref139029906"/>
            <w:bookmarkStart w:id="318" w:name="_Ref139029906"/>
            <w:bookmarkEnd w:id="318"/>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4"/>
            </w:r>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Предоставление документов не требуется.</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9" w:name="_Ref186181914"/>
            <w:bookmarkStart w:id="320" w:name="_Ref186181914"/>
            <w:bookmarkEnd w:id="320"/>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21" w:name="_Ref186181918"/>
            <w:bookmarkStart w:id="322" w:name="_Ref186181918"/>
            <w:bookmarkEnd w:id="322"/>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1"/>
        <w:spacing w:before="360" w:after="120"/>
        <w:rPr>
          <w:sz w:val="22"/>
        </w:rPr>
      </w:pPr>
      <w:bookmarkStart w:id="323" w:name="__RefHeading___Toc192587_1558056896"/>
      <w:bookmarkStart w:id="324" w:name="_Ref125709250"/>
      <w:bookmarkStart w:id="325" w:name="_Ref125369099"/>
      <w:bookmarkStart w:id="326" w:name="_Ref125370079"/>
      <w:bookmarkStart w:id="327" w:name="_Ref125709153"/>
      <w:bookmarkStart w:id="328" w:name="_Ref125709401"/>
      <w:bookmarkStart w:id="329" w:name="_Ref125709888"/>
      <w:bookmarkStart w:id="330" w:name="_Toc186224164"/>
      <w:bookmarkStart w:id="331" w:name="_Ref125368901"/>
      <w:bookmarkStart w:id="332" w:name="_Ref125368916"/>
      <w:bookmarkStart w:id="333" w:name="_Ref125368818"/>
      <w:bookmarkStart w:id="334" w:name="_Ref125367539"/>
      <w:bookmarkStart w:id="335" w:name="_Ref125367521"/>
      <w:bookmarkStart w:id="336" w:name="_Ref125365459"/>
      <w:bookmarkStart w:id="337" w:name="_Ref125361937"/>
      <w:bookmarkStart w:id="338" w:name="_Ref125361869"/>
      <w:bookmarkStart w:id="339" w:name="_Ref125361671"/>
      <w:bookmarkStart w:id="340" w:name="_Ref125361633"/>
      <w:bookmarkStart w:id="341" w:name="_Ref125361442"/>
      <w:bookmarkEnd w:id="323"/>
      <w:r>
        <w:rPr>
          <w:sz w:val="22"/>
        </w:rPr>
        <w:t>Специальные требования</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3"/>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5671" w:type="dxa"/>
            <w:tcBorders>
              <w:right w:val="nil"/>
            </w:tcBorders>
          </w:tcPr>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осуществляющих строительство</w:t>
            </w:r>
            <w:r>
              <w:rPr>
                <w:rStyle w:val="FootnoteReference"/>
                <w:rFonts w:eastAsia="Calibri" w:cs=""/>
                <w:kern w:val="0"/>
                <w:sz w:val="22"/>
                <w:szCs w:val="22"/>
                <w:lang w:val="ru-RU" w:eastAsia="en-US" w:bidi="ar-SA"/>
              </w:rPr>
              <w:footnoteReference w:id="15"/>
            </w:r>
            <w:r>
              <w:rPr>
                <w:rFonts w:eastAsia="Calibri" w:cs=""/>
                <w:kern w:val="0"/>
                <w:sz w:val="22"/>
                <w:szCs w:val="22"/>
                <w:lang w:val="ru-RU" w:eastAsia="en-US" w:bidi="ar-SA"/>
              </w:rPr>
              <w:t>,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осуществляющих подготовку проектной документации</w:t>
            </w:r>
            <w:r>
              <w:rPr>
                <w:rStyle w:val="FootnoteReference"/>
                <w:rFonts w:eastAsia="Calibri" w:cs=""/>
                <w:kern w:val="0"/>
                <w:sz w:val="22"/>
                <w:szCs w:val="22"/>
                <w:lang w:val="ru-RU" w:eastAsia="en-US" w:bidi="ar-SA"/>
              </w:rPr>
              <w:footnoteReference w:id="16"/>
            </w:r>
            <w:r>
              <w:rPr>
                <w:rFonts w:eastAsia="Calibri" w:cs=""/>
                <w:kern w:val="0"/>
                <w:sz w:val="22"/>
                <w:szCs w:val="22"/>
                <w:lang w:val="ru-RU" w:eastAsia="en-US" w:bidi="ar-SA"/>
              </w:rPr>
              <w:t>,</w:t>
            </w:r>
          </w:p>
          <w:p>
            <w:pPr>
              <w:pStyle w:val="ListParagraph"/>
              <w:widowControl w:val="false"/>
              <w:tabs>
                <w:tab w:val="clear" w:pos="708"/>
                <w:tab w:val="left" w:pos="426" w:leader="none"/>
              </w:tabs>
              <w:suppressAutoHyphens w:val="true"/>
              <w:spacing w:before="60" w:after="6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выполняющих инженерные изыскания</w:t>
            </w:r>
            <w:r>
              <w:rPr>
                <w:rStyle w:val="FootnoteReference"/>
                <w:rFonts w:eastAsia="Calibri" w:cs=""/>
                <w:kern w:val="0"/>
                <w:sz w:val="22"/>
                <w:szCs w:val="22"/>
                <w:lang w:val="ru-RU" w:eastAsia="en-US" w:bidi="ar-SA"/>
              </w:rPr>
              <w:footnoteReference w:id="17"/>
            </w:r>
            <w:r>
              <w:rPr>
                <w:rFonts w:eastAsia="Calibri" w:cs=""/>
                <w:kern w:val="0"/>
                <w:sz w:val="22"/>
                <w:szCs w:val="22"/>
                <w:lang w:val="ru-RU" w:eastAsia="en-US" w:bidi="ar-SA"/>
              </w:rPr>
              <w:t>;</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и иметь право выполнять работы в отношении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При этом:</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выполнения строительных работ:</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а также (в случае их наличия в Технических требованиях) поставки оборудования и материально-технических ресурсов.</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подготовки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выполнения инженерных изысканий:</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 инженерным изысканиям);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 инженерным изысканиям).</w:t>
            </w:r>
          </w:p>
        </w:tc>
        <w:tc>
          <w:tcPr>
            <w:tcW w:w="8327" w:type="dxa"/>
            <w:tcBorders/>
          </w:tcPr>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Предоставление документов не требуется.</w:t>
            </w:r>
          </w:p>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tabs>
                <w:tab w:val="clear" w:pos="708"/>
                <w:tab w:val="left" w:pos="320" w:leader="none"/>
              </w:tabs>
              <w:suppressAutoHyphens w:val="true"/>
              <w:spacing w:before="60" w:after="60"/>
              <w:ind w:left="7" w:hanging="0"/>
              <w:jc w:val="both"/>
              <w:rPr/>
            </w:pPr>
            <w:r>
              <w:rPr>
                <w:rFonts w:eastAsia="Calibri" w:cs=""/>
                <w:kern w:val="0"/>
                <w:sz w:val="22"/>
                <w:szCs w:val="22"/>
                <w:lang w:val="ru-RU" w:eastAsia="en-US" w:bidi="ar-SA"/>
              </w:rPr>
              <w:t>- Национальное объединение строителей НОСТРОЙ - сервис «Единый реестр членов СРО» (</w:t>
            </w:r>
            <w:hyperlink r:id="rId19">
              <w:r>
                <w:rPr>
                  <w:rStyle w:val="Hyperlink"/>
                  <w:rFonts w:eastAsia="Calibri" w:cs=""/>
                  <w:kern w:val="0"/>
                  <w:sz w:val="22"/>
                  <w:szCs w:val="22"/>
                  <w:lang w:val="ru-RU" w:eastAsia="en-US" w:bidi="ar-SA"/>
                </w:rPr>
                <w:t>https://reestr.nostroy.ru/sro/all/member/list)</w:t>
              </w:r>
            </w:hyperlink>
            <w:r>
              <w:rPr>
                <w:rFonts w:eastAsia="Calibri" w:cs=""/>
                <w:kern w:val="0"/>
                <w:sz w:val="22"/>
                <w:szCs w:val="22"/>
                <w:lang w:val="ru-RU" w:eastAsia="en-US" w:bidi="ar-SA"/>
              </w:rPr>
              <w:t>;</w:t>
            </w:r>
          </w:p>
          <w:p>
            <w:pPr>
              <w:pStyle w:val="Normal"/>
              <w:widowControl w:val="false"/>
              <w:tabs>
                <w:tab w:val="clear" w:pos="708"/>
                <w:tab w:val="left" w:pos="320" w:leader="none"/>
              </w:tabs>
              <w:suppressAutoHyphens w:val="true"/>
              <w:spacing w:before="60" w:after="60"/>
              <w:ind w:left="7" w:hanging="0"/>
              <w:jc w:val="both"/>
              <w:rPr/>
            </w:pPr>
            <w:r>
              <w:rPr>
                <w:rFonts w:eastAsia="Calibri" w:cs=""/>
                <w:kern w:val="0"/>
                <w:sz w:val="22"/>
                <w:szCs w:val="22"/>
                <w:lang w:val="ru-RU" w:eastAsia="en-US" w:bidi="ar-SA"/>
              </w:rPr>
              <w:t>- Национальное объединение изыскателей и проектировщиков НОПРИЗ - сервис «Единый реестр членов СРО» (</w:t>
            </w:r>
            <w:hyperlink r:id="rId20">
              <w:r>
                <w:rPr>
                  <w:rStyle w:val="Hyperlink"/>
                  <w:rFonts w:eastAsia="Calibri" w:cs=""/>
                  <w:kern w:val="0"/>
                  <w:sz w:val="22"/>
                  <w:szCs w:val="22"/>
                  <w:lang w:val="ru-RU" w:eastAsia="en-US" w:bidi="ar-SA"/>
                </w:rPr>
                <w:t>http://nopriz.ru/nreesters/elektronnyy-reestr/</w:t>
              </w:r>
            </w:hyperlink>
            <w:r>
              <w:rPr>
                <w:rFonts w:eastAsia="Calibri" w:cs=""/>
                <w:kern w:val="0"/>
                <w:sz w:val="22"/>
                <w:szCs w:val="22"/>
                <w:lang w:val="ru-RU" w:eastAsia="en-US" w:bidi="ar-SA"/>
              </w:rPr>
              <w:t>).</w:t>
            </w:r>
          </w:p>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r>
      <w:tr>
        <w:trPr/>
        <w:tc>
          <w:tcPr>
            <w:tcW w:w="1128" w:type="dxa"/>
            <w:tcBorders>
              <w:top w:val="nil"/>
            </w:tcBorders>
          </w:tcPr>
          <w:p>
            <w:pPr>
              <w:pStyle w:val="Style26"/>
              <w:widowControl w:val="false"/>
              <w:numPr>
                <w:ilvl w:val="0"/>
                <w:numId w:val="3"/>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5671" w:type="dxa"/>
            <w:tcBorders>
              <w:top w:val="nil"/>
              <w:right w:val="nil"/>
            </w:tcBorders>
          </w:tcPr>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xml:space="preserve">В соответствии со ст. 29 и 33 ФЗ от 24.07.2007 № 221-ФЗ "О кадастровой деятельности" с последними изменениями: </w:t>
            </w:r>
          </w:p>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Если Участник выступает в качестве юридического лица: наличие в штате не менее двух кадастровых инженеров, которые вправе осуществлять кадастровую деятельность являющимися членами саморегулируемой организации кадастровых инженеров;</w:t>
            </w:r>
          </w:p>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Если кадастровый инженер выступает в качестве индивидуального предпринимателя, то он должен быть зарегистрирован в этом качестве в установленном законодательством Российской Федерации порядке и являться членом саморегулируемой организации кадастровых инженеров.</w:t>
            </w:r>
          </w:p>
        </w:tc>
        <w:tc>
          <w:tcPr>
            <w:tcW w:w="8327" w:type="dxa"/>
            <w:tcBorders>
              <w:top w:val="nil"/>
            </w:tcBorders>
          </w:tcPr>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Информация о членстве кадастровых инженеров в СРО кадастровых инженеров подтверждается участником в Письме о подаче оферты с указанием открытых и общедоступных государственных реестров, размещенных в информационно-телекоммуникационной сети «Интернет» (адреса сайта или страницы сайта  в информационно-телекоммуникационной сети «Интернет», на которых размещены соответствующие подтверждающие информация и документы в отношении указанных кадастровых инженеров).</w:t>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Дополнительно в составе заявки участником закупки предоставляются копии действующего полиса обязательного страхования гражданской ответственности кадастрового инженера</w:t>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Требование является обязательными, неисполнение которых повлечет отклонение заявки.</w:t>
            </w:r>
          </w:p>
        </w:tc>
      </w:tr>
    </w:tbl>
    <w:p>
      <w:pPr>
        <w:pStyle w:val="Style21"/>
        <w:spacing w:before="360" w:after="120"/>
        <w:rPr>
          <w:sz w:val="22"/>
        </w:rPr>
      </w:pPr>
      <w:bookmarkStart w:id="342" w:name="__RefHeading___Toc192589_1558056896"/>
      <w:bookmarkStart w:id="343" w:name="_Toc186224165"/>
      <w:bookmarkStart w:id="344" w:name="_Ref125709228"/>
      <w:bookmarkStart w:id="345" w:name="_Ref125553703"/>
      <w:bookmarkStart w:id="346" w:name="_Ref125553692"/>
      <w:bookmarkStart w:id="347" w:name="_Ref125553500"/>
      <w:bookmarkStart w:id="348" w:name="_Ref125552455"/>
      <w:bookmarkStart w:id="349" w:name="_Ref125370151"/>
      <w:bookmarkStart w:id="350" w:name="_Ref125370085"/>
      <w:bookmarkStart w:id="351" w:name="_Ref125369111"/>
      <w:bookmarkStart w:id="352" w:name="_Ref125361531"/>
      <w:bookmarkStart w:id="353" w:name="_Ref125370145"/>
      <w:bookmarkEnd w:id="342"/>
      <w:r>
        <w:rPr>
          <w:sz w:val="22"/>
        </w:rPr>
        <w:t>Дополнительные требования к Коллективным участникам</w:t>
      </w:r>
      <w:bookmarkEnd w:id="343"/>
      <w:bookmarkEnd w:id="344"/>
      <w:bookmarkEnd w:id="345"/>
      <w:bookmarkEnd w:id="346"/>
      <w:bookmarkEnd w:id="347"/>
      <w:bookmarkEnd w:id="348"/>
      <w:bookmarkEnd w:id="349"/>
      <w:bookmarkEnd w:id="350"/>
      <w:bookmarkEnd w:id="351"/>
      <w:bookmarkEnd w:id="352"/>
      <w:bookmarkEnd w:id="353"/>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Коллективному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4" w:name="_Ref125553738"/>
            <w:bookmarkStart w:id="355" w:name="_Ref125553738"/>
            <w:bookmarkEnd w:id="355"/>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6" w:name="_Ref125370162"/>
            <w:bookmarkStart w:id="357" w:name="_Ref125370162"/>
            <w:bookmarkEnd w:id="357"/>
          </w:p>
        </w:tc>
        <w:tc>
          <w:tcPr>
            <w:tcW w:w="5671"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_Ref125368791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_Ref135034010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3.2.7</w:t>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1"/>
        <w:spacing w:before="360" w:after="120"/>
        <w:rPr>
          <w:sz w:val="22"/>
        </w:rPr>
      </w:pPr>
      <w:bookmarkStart w:id="358" w:name="__RefHeading___Toc192591_1558056896"/>
      <w:bookmarkStart w:id="359" w:name="_Ref125370180"/>
      <w:bookmarkStart w:id="360" w:name="_Toc186224166"/>
      <w:bookmarkStart w:id="361" w:name="_Ref125709973"/>
      <w:bookmarkStart w:id="362" w:name="_Ref125709777"/>
      <w:bookmarkStart w:id="363" w:name="_Ref125370173"/>
      <w:bookmarkStart w:id="364" w:name="_Ref125369117"/>
      <w:bookmarkStart w:id="365" w:name="_Ref125362031"/>
      <w:bookmarkStart w:id="366" w:name="_Ref125361823"/>
      <w:bookmarkStart w:id="367" w:name="_Ref125370209"/>
      <w:bookmarkEnd w:id="358"/>
      <w:r>
        <w:rPr>
          <w:sz w:val="22"/>
        </w:rPr>
        <w:t>Дополнительные требования к Генеральным подрядчикам</w:t>
      </w:r>
      <w:bookmarkStart w:id="368" w:name="Прил04_ФормыЗаявки"/>
      <w:bookmarkStart w:id="369" w:name="__RefHeading___Toc192593_1558056896"/>
      <w:bookmarkEnd w:id="359"/>
      <w:bookmarkEnd w:id="360"/>
      <w:bookmarkEnd w:id="361"/>
      <w:bookmarkEnd w:id="362"/>
      <w:bookmarkEnd w:id="363"/>
      <w:bookmarkEnd w:id="364"/>
      <w:bookmarkEnd w:id="365"/>
      <w:bookmarkEnd w:id="366"/>
      <w:bookmarkEnd w:id="367"/>
      <w:bookmarkEnd w:id="368"/>
      <w:bookmarkEnd w:id="369"/>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0" w:name="_Ref125370187"/>
            <w:bookmarkStart w:id="371" w:name="_Ref125370187"/>
            <w:bookmarkEnd w:id="371"/>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2" w:name="_Ref125370193"/>
            <w:bookmarkStart w:id="373" w:name="_Ref125370193"/>
            <w:bookmarkEnd w:id="373"/>
          </w:p>
        </w:tc>
        <w:tc>
          <w:tcPr>
            <w:tcW w:w="5671"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21"/>
          <w:headerReference w:type="first" r:id="rId22"/>
          <w:footerReference w:type="default" r:id="rId23"/>
          <w:footerReference w:type="first" r:id="rId2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sectPr>
          <w:headerReference w:type="default" r:id="rId25"/>
          <w:headerReference w:type="first" r:id="rId26"/>
          <w:footerReference w:type="default" r:id="rId27"/>
          <w:footerReference w:type="first" r:id="rId2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0"/>
        <w:rPr>
          <w:sz w:val="22"/>
        </w:rPr>
      </w:pPr>
      <w:bookmarkStart w:id="374" w:name="_Toc186224167"/>
      <w:r>
        <w:rPr>
          <w:sz w:val="22"/>
        </w:rPr>
        <w:t>Приложение № 4 – Образцы форм документов, включаемых в состав зая</w:t>
      </w:r>
      <w:bookmarkEnd w:id="374"/>
      <w:r>
        <w:rPr>
          <w:sz w:val="22"/>
        </w:rPr>
        <w:t>вки</w:t>
      </w:r>
    </w:p>
    <w:p>
      <w:pPr>
        <w:pStyle w:val="Style21"/>
        <w:rPr>
          <w:sz w:val="22"/>
        </w:rPr>
      </w:pPr>
      <w:bookmarkStart w:id="375" w:name="__RefHeading___Toc192595_1558056896"/>
      <w:bookmarkStart w:id="376" w:name="_Toc186224168"/>
      <w:bookmarkEnd w:id="375"/>
      <w:r>
        <w:rPr>
          <w:sz w:val="22"/>
        </w:rPr>
        <w:t>Пояснения к Образцам форм документов, включаемых в состав заявки</w:t>
      </w:r>
      <w:bookmarkEnd w:id="376"/>
    </w:p>
    <w:p>
      <w:pPr>
        <w:pStyle w:val="Style22"/>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0"/>
        <w:rPr>
          <w:sz w:val="22"/>
        </w:rPr>
      </w:pPr>
      <w:bookmarkStart w:id="377" w:name="__RefHeading___Toc192597_1558056896"/>
      <w:bookmarkStart w:id="378" w:name="_Toc186224169"/>
      <w:bookmarkStart w:id="379" w:name="Прил05_ФормыПобедителя"/>
      <w:bookmarkEnd w:id="377"/>
      <w:bookmarkEnd w:id="379"/>
      <w:r>
        <w:rPr>
          <w:sz w:val="22"/>
        </w:rPr>
        <w:t>Приложение № 5 – Образцы форм документов, предоставляемых Победителем</w:t>
      </w:r>
      <w:bookmarkEnd w:id="378"/>
    </w:p>
    <w:p>
      <w:pPr>
        <w:pStyle w:val="Style21"/>
        <w:rPr>
          <w:sz w:val="22"/>
        </w:rPr>
      </w:pPr>
      <w:bookmarkStart w:id="380" w:name="__RefHeading___Toc192599_1558056896"/>
      <w:bookmarkStart w:id="381" w:name="_Toc186224170"/>
      <w:bookmarkEnd w:id="380"/>
      <w:r>
        <w:rPr>
          <w:sz w:val="22"/>
        </w:rPr>
        <w:t>Пояснения к Образцам форм документов, предоставляемых Победителем</w:t>
      </w:r>
      <w:bookmarkEnd w:id="381"/>
    </w:p>
    <w:p>
      <w:pPr>
        <w:pStyle w:val="Style22"/>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1"/>
        <w:rPr>
          <w:sz w:val="22"/>
        </w:rPr>
      </w:pPr>
      <w:bookmarkStart w:id="382" w:name="__RefHeading___Toc192601_1558056896"/>
      <w:bookmarkStart w:id="383" w:name="_Ref130395470"/>
      <w:bookmarkStart w:id="384" w:name="_Toc186224171"/>
      <w:bookmarkEnd w:id="382"/>
      <w:r>
        <w:rPr>
          <w:sz w:val="22"/>
        </w:rPr>
        <w:t>Форма справки «Сведения о цепочке собственников, включая бенефициаров (в том числе конечных)»</w:t>
      </w:r>
      <w:bookmarkEnd w:id="383"/>
      <w:bookmarkEnd w:id="384"/>
    </w:p>
    <w:p>
      <w:pPr>
        <w:pStyle w:val="Style22"/>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5" w:name="_MON_1741074142"/>
    </w:p>
    <w:p>
      <w:pPr>
        <w:pStyle w:val="Style26"/>
        <w:jc w:val="center"/>
        <w:rPr>
          <w:sz w:val="22"/>
        </w:rPr>
      </w:pPr>
      <w:bookmarkEnd w:id="385"/>
      <w:r>
        <w:rPr/>
        <w:object>
          <v:shapetype id="_x0000_tole_rId29" coordsize="21600,21600" o:spt="ole_rId2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9" type="_x0000_tole_rId29" style="width:78.75pt;height:48.75pt;mso-wrap-distance-right:0pt" filled="f" o:ole="">
            <v:imagedata r:id="rId30" o:title=""/>
          </v:shape>
          <o:OLEObject Type="Embed" ProgID="Word.Document.12" ShapeID="ole_rId29" DrawAspect="Icon" ObjectID="_127339797" r:id="rId29"/>
        </w:object>
      </w:r>
    </w:p>
    <w:p>
      <w:pPr>
        <w:pStyle w:val="Style21"/>
        <w:rPr>
          <w:sz w:val="22"/>
        </w:rPr>
      </w:pPr>
      <w:bookmarkStart w:id="386" w:name="__RefHeading___Toc192603_1558056896"/>
      <w:bookmarkStart w:id="387" w:name="_Toc186224172"/>
      <w:bookmarkStart w:id="388" w:name="_Ref130395475"/>
      <w:bookmarkEnd w:id="386"/>
      <w:r>
        <w:rPr>
          <w:sz w:val="22"/>
        </w:rPr>
        <w:t>Форма «Заверение об обстоятельствах»</w:t>
      </w:r>
      <w:bookmarkEnd w:id="387"/>
      <w:bookmarkEnd w:id="388"/>
    </w:p>
    <w:p>
      <w:pPr>
        <w:pStyle w:val="Style22"/>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2"/>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9" w:name="_MON_1741074184"/>
    </w:p>
    <w:p>
      <w:pPr>
        <w:pStyle w:val="Style26"/>
        <w:spacing w:before="120" w:after="120"/>
        <w:jc w:val="center"/>
        <w:rPr>
          <w:sz w:val="22"/>
        </w:rPr>
      </w:pPr>
      <w:bookmarkEnd w:id="389"/>
      <w:r>
        <w:rPr/>
        <w:object>
          <v:shapetype id="_x0000_tole_rId31" coordsize="21600,21600" o:spt="ole_rId3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1" type="_x0000_tole_rId31" style="width:78.75pt;height:48.75pt;mso-wrap-distance-right:0pt;mso-wrap-distance-bottom:6pt" filled="f" o:ole="">
            <v:imagedata r:id="rId32" o:title=""/>
          </v:shape>
          <o:OLEObject Type="Embed" ProgID="Word.Document.12" ShapeID="ole_rId31" DrawAspect="Icon" ObjectID="_577882608" r:id="rId31"/>
        </w:object>
      </w:r>
    </w:p>
    <w:p>
      <w:pPr>
        <w:pStyle w:val="Style20"/>
        <w:rPr>
          <w:sz w:val="22"/>
        </w:rPr>
      </w:pPr>
      <w:bookmarkStart w:id="390" w:name="__RefHeading___Toc192605_1558056896"/>
      <w:bookmarkStart w:id="391" w:name="_Toc186224173"/>
      <w:bookmarkStart w:id="392" w:name="_Ref125362900"/>
      <w:bookmarkStart w:id="393" w:name="_Ref125362865"/>
      <w:bookmarkStart w:id="394" w:name="Прил06_СоставЗаявки"/>
      <w:bookmarkEnd w:id="390"/>
      <w:bookmarkEnd w:id="394"/>
      <w:r>
        <w:rPr>
          <w:sz w:val="22"/>
        </w:rPr>
        <w:t>Приложение № 6 – Состав заявки</w:t>
      </w:r>
      <w:bookmarkEnd w:id="391"/>
      <w:bookmarkEnd w:id="392"/>
      <w:bookmarkEnd w:id="393"/>
    </w:p>
    <w:p>
      <w:pPr>
        <w:pStyle w:val="Style21"/>
        <w:rPr>
          <w:sz w:val="22"/>
        </w:rPr>
      </w:pPr>
      <w:bookmarkStart w:id="395" w:name="__RefHeading___Toc192607_1558056896"/>
      <w:bookmarkStart w:id="396" w:name="_Toc186224174"/>
      <w:bookmarkEnd w:id="395"/>
      <w:r>
        <w:rPr>
          <w:sz w:val="22"/>
        </w:rPr>
        <w:t>Состав заявки</w:t>
      </w:r>
      <w:bookmarkEnd w:id="396"/>
    </w:p>
    <w:p>
      <w:pPr>
        <w:pStyle w:val="Style22"/>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sz w:val="22"/>
          </w:rPr>
          <w:t>Приложении № 4</w:t>
        </w:r>
      </w:hyperlink>
      <w:r>
        <w:rPr>
          <w:sz w:val="22"/>
        </w:rPr>
        <w:t>):</w:t>
      </w:r>
    </w:p>
    <w:tbl>
      <w:tblPr>
        <w:tblStyle w:val="af8"/>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Календарный график (форма 5);</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7" w:name="_Ref132897708"/>
            <w:bookmarkStart w:id="398" w:name="_Ref132897708"/>
            <w:bookmarkEnd w:id="398"/>
          </w:p>
        </w:tc>
        <w:tc>
          <w:tcPr>
            <w:tcW w:w="8075" w:type="dxa"/>
            <w:tcBorders/>
          </w:tcPr>
          <w:p>
            <w:pPr>
              <w:pStyle w:val="Style29"/>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[Дополнение (если условиями закупки предусмотрено Обсуждение заявок – иначе, удаляется вся строка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_Ref132897708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таблицы):]</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Предложения на обсуждение заявок (форма 12);</w:t>
            </w:r>
          </w:p>
          <w:p>
            <w:pPr>
              <w:pStyle w:val="Style29"/>
              <w:widowControl w:val="false"/>
              <w:suppressAutoHyphens w:val="true"/>
              <w:spacing w:before="60" w:after="60"/>
              <w:rPr>
                <w:rFonts w:ascii="Times New Roman" w:hAnsi="Times New Roman" w:eastAsia="Calibri" w:cs=""/>
                <w:kern w:val="0"/>
                <w:sz w:val="22"/>
                <w:szCs w:val="22"/>
                <w:lang w:eastAsia="en-US" w:bidi="ar-SA"/>
              </w:rPr>
            </w:pPr>
            <w:r>
              <w:rPr>
                <w:rFonts w:eastAsia="Calibri" w:cs=""/>
                <w:kern w:val="0"/>
                <w:sz w:val="22"/>
                <w:szCs w:val="22"/>
                <w:lang w:val="en-US" w:eastAsia="en-US" w:bidi="ar-SA"/>
              </w:rPr>
              <w:t>[</w:t>
            </w:r>
            <w:r>
              <w:rPr>
                <w:rFonts w:eastAsia="Calibri" w:cs=""/>
                <w:kern w:val="0"/>
                <w:sz w:val="22"/>
                <w:szCs w:val="22"/>
                <w:lang w:val="ru-RU" w:eastAsia="en-US" w:bidi="ar-SA"/>
              </w:rPr>
              <w:t>Окончание дополнения</w:t>
            </w:r>
            <w:r>
              <w:rPr>
                <w:rFonts w:eastAsia="Calibri" w:cs=""/>
                <w:kern w:val="0"/>
                <w:sz w:val="22"/>
                <w:szCs w:val="22"/>
                <w:lang w:val="en-US"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Вторая часть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Анкета Участника (форма 6);</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_Ref130305355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Style w:val="Style11"/>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3.3</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9" w:name="_Ref132888537"/>
            <w:bookmarkStart w:id="400" w:name="_Ref132888537"/>
            <w:bookmarkEnd w:id="400"/>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1" w:name="_Ref130389408"/>
            <w:bookmarkStart w:id="402" w:name="_Ref130389408"/>
            <w:bookmarkEnd w:id="402"/>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3" w:name="_Ref130389413"/>
            <w:bookmarkStart w:id="404" w:name="_Ref130389413"/>
            <w:bookmarkEnd w:id="404"/>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5" w:name="_Ref130389419"/>
            <w:bookmarkStart w:id="406" w:name="_Ref130389419"/>
            <w:bookmarkEnd w:id="406"/>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Ценовое предложение:</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2"/>
        <w:rPr/>
      </w:pPr>
      <w:r>
        <w:rPr>
          <w:rStyle w:val="Style8"/>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rPr>
          <w:sz w:val="22"/>
        </w:rPr>
      </w:pPr>
      <w:bookmarkStart w:id="407" w:name="__RefHeading___Toc192609_1558056896"/>
      <w:bookmarkStart w:id="408" w:name="_Ref125365264"/>
      <w:bookmarkStart w:id="409" w:name="_Toc186224175"/>
      <w:bookmarkStart w:id="410" w:name="Прил07_ОтборочныеКритерии"/>
      <w:bookmarkEnd w:id="407"/>
      <w:bookmarkEnd w:id="410"/>
      <w:r>
        <w:rPr>
          <w:sz w:val="22"/>
        </w:rPr>
        <w:t>Приложение № 7 – Отборочные критерии рассмотрения заявок</w:t>
      </w:r>
      <w:bookmarkEnd w:id="408"/>
      <w:bookmarkEnd w:id="409"/>
    </w:p>
    <w:p>
      <w:pPr>
        <w:pStyle w:val="Style21"/>
        <w:spacing w:before="360" w:after="120"/>
        <w:rPr/>
      </w:pPr>
      <w:bookmarkStart w:id="411" w:name="__RefHeading___Toc192611_1558056896"/>
      <w:bookmarkStart w:id="412" w:name="_Toc186224176"/>
      <w:bookmarkEnd w:id="411"/>
      <w:r>
        <w:rPr>
          <w:rStyle w:val="Style8"/>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412"/>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9918"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1"/>
        <w:spacing w:before="360" w:after="120"/>
        <w:rPr/>
      </w:pPr>
      <w:bookmarkStart w:id="413" w:name="__RefHeading___Toc192613_1558056896"/>
      <w:bookmarkStart w:id="414" w:name="_Toc186224178"/>
      <w:bookmarkStart w:id="415" w:name="_Hlk132891087"/>
      <w:bookmarkEnd w:id="413"/>
      <w:r>
        <w:rPr>
          <w:rStyle w:val="Style8"/>
          <w:i w:val="false"/>
          <w:iCs w:val="false"/>
          <w:sz w:val="22"/>
          <w:shd w:fill="auto" w:val="clear"/>
        </w:rPr>
        <w:t>Отборочные критерии рассмотрения вторых частей заявок</w:t>
      </w:r>
      <w:bookmarkEnd w:id="414"/>
      <w:bookmarkEnd w:id="415"/>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16" w:name="_Ref132890414"/>
            <w:bookmarkStart w:id="417" w:name="_Ref132890414"/>
            <w:bookmarkEnd w:id="417"/>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 в части наличия сведений в реестре,</w:t>
            </w:r>
          </w:p>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Фин – в части соответствия</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Письма о подаче оферты:</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Коллективного участника установленным в отношении его требованиям: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_Ref130305355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_Ref125553738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_Ref125370162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p>
            <w:pPr>
              <w:pStyle w:val="Style26"/>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3.3</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_Ref125553847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Ошибка: источник перекрёстной ссылки не найден</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r>
          </w:p>
        </w:tc>
      </w:tr>
      <w:tr>
        <w:trPr/>
        <w:tc>
          <w:tcPr>
            <w:tcW w:w="9918"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1"/>
        <w:spacing w:before="360" w:after="120"/>
        <w:rPr/>
      </w:pPr>
      <w:bookmarkStart w:id="418" w:name="__RefHeading___Toc192615_1558056896"/>
      <w:bookmarkStart w:id="419" w:name="_Toc186224179"/>
      <w:bookmarkEnd w:id="418"/>
      <w:r>
        <w:rPr>
          <w:rStyle w:val="Style8"/>
          <w:i w:val="false"/>
          <w:iCs w:val="false"/>
          <w:sz w:val="22"/>
          <w:shd w:fill="auto" w:val="clear"/>
        </w:rPr>
        <w:t>Отборочные критерии рассмотрения ценовых предложений (дополнительных ценовых предложений)</w:t>
      </w:r>
      <w:bookmarkEnd w:id="419"/>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6"/>
              <w:widowControl w:val="false"/>
              <w:suppressAutoHyphens w:val="true"/>
              <w:spacing w:before="60" w:after="60"/>
              <w:jc w:val="center"/>
              <w:rPr/>
            </w:pP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Коммерческого предложения</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1"/>
        <w:rPr/>
      </w:pPr>
      <w:bookmarkStart w:id="420" w:name="__RefHeading___Toc192617_1558056896"/>
      <w:bookmarkStart w:id="421" w:name="_Toc186224180"/>
      <w:bookmarkEnd w:id="420"/>
      <w:r>
        <w:rPr>
          <w:rStyle w:val="Style8"/>
          <w:i w:val="false"/>
          <w:iCs w:val="false"/>
          <w:sz w:val="22"/>
          <w:shd w:fill="auto" w:val="clear"/>
        </w:rPr>
        <w:t>Дополнительные критерии проверки заявок на соответствие условиям Документации о закупке</w:t>
      </w:r>
      <w:bookmarkEnd w:id="421"/>
    </w:p>
    <w:p>
      <w:pPr>
        <w:pStyle w:val="Style26"/>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6"/>
              <w:widowControl w:val="false"/>
              <w:numPr>
                <w:ilvl w:val="0"/>
                <w:numId w:val="12"/>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6"/>
        <w:keepNext w:val="true"/>
        <w:tabs>
          <w:tab w:val="clear" w:pos="708"/>
          <w:tab w:val="left" w:pos="851" w:leader="none"/>
        </w:tabs>
        <w:spacing w:before="240" w:after="0"/>
        <w:rPr>
          <w:sz w:val="22"/>
        </w:rPr>
      </w:pPr>
      <w:r>
        <w:rPr>
          <w:b/>
          <w:bCs/>
          <w:sz w:val="22"/>
        </w:rPr>
        <w:t>* Направления оценки заявок:</w:t>
      </w:r>
    </w:p>
    <w:p>
      <w:pPr>
        <w:pStyle w:val="Style26"/>
        <w:tabs>
          <w:tab w:val="clear" w:pos="708"/>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6"/>
        <w:tabs>
          <w:tab w:val="clear" w:pos="708"/>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7"/>
          <w:headerReference w:type="first" r:id="rId38"/>
          <w:footerReference w:type="default" r:id="rId39"/>
          <w:footerReference w:type="first" r:id="rId4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6"/>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rPr/>
      </w:pPr>
      <w:bookmarkStart w:id="422" w:name="__RefHeading___Toc192619_1558056896"/>
      <w:bookmarkStart w:id="423" w:name="_Ref125368172"/>
      <w:bookmarkStart w:id="424" w:name="_Ref125368283"/>
      <w:bookmarkStart w:id="425" w:name="_Ref125368291"/>
      <w:bookmarkStart w:id="426" w:name="_Ref125368302"/>
      <w:bookmarkStart w:id="427" w:name="_Ref125368313"/>
      <w:bookmarkStart w:id="428" w:name="_Ref125369021"/>
      <w:bookmarkStart w:id="429" w:name="_Ref125369438"/>
      <w:bookmarkStart w:id="430" w:name="_Toc186224181"/>
      <w:bookmarkStart w:id="431" w:name="_Ref125368184"/>
      <w:bookmarkStart w:id="432" w:name="_Ref125368165"/>
      <w:bookmarkStart w:id="433" w:name="_Ref125368150"/>
      <w:bookmarkStart w:id="434" w:name="_Ref125368140"/>
      <w:bookmarkStart w:id="435" w:name="_Ref125366285"/>
      <w:bookmarkStart w:id="436" w:name="_Ref125366280"/>
      <w:bookmarkStart w:id="437" w:name="_Ref125366013"/>
      <w:bookmarkStart w:id="438" w:name="_Ref125368331"/>
      <w:bookmarkStart w:id="439" w:name="_Ref125361951"/>
      <w:bookmarkStart w:id="440" w:name="_Ref125361648"/>
      <w:bookmarkStart w:id="441" w:name="Прил08_ПорядокОценки"/>
      <w:bookmarkEnd w:id="422"/>
      <w:bookmarkEnd w:id="441"/>
      <w:r>
        <w:rPr/>
        <w:t>Приложение № 8 – Порядок и критерии оценки и сопоставления заявок</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pPr>
        <w:pStyle w:val="Style21"/>
        <w:rPr/>
      </w:pPr>
      <w:bookmarkStart w:id="442" w:name="__RefHeading___Toc192621_1558056896"/>
      <w:bookmarkStart w:id="443" w:name="_Toc186224182"/>
      <w:bookmarkEnd w:id="442"/>
      <w:r>
        <w:rPr/>
        <w:t>Порядок и критерии оценки и сопоставления заявок</w:t>
      </w:r>
      <w:bookmarkEnd w:id="443"/>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f0"/>
        <w:tblW w:w="14269" w:type="dxa"/>
        <w:jc w:val="left"/>
        <w:tblInd w:w="907" w:type="dxa"/>
        <w:tblLayout w:type="fixed"/>
        <w:tblCellMar>
          <w:top w:w="0" w:type="dxa"/>
          <w:left w:w="57" w:type="dxa"/>
          <w:bottom w:w="0" w:type="dxa"/>
          <w:right w:w="57" w:type="dxa"/>
        </w:tblCellMar>
        <w:tblLook w:val="04a0" w:noVBand="1" w:noHBand="0" w:lastColumn="0" w:firstColumn="1" w:lastRow="0" w:firstRow="1"/>
      </w:tblPr>
      <w:tblGrid>
        <w:gridCol w:w="787"/>
        <w:gridCol w:w="2240"/>
        <w:gridCol w:w="1594"/>
        <w:gridCol w:w="1697"/>
        <w:gridCol w:w="1848"/>
        <w:gridCol w:w="1977"/>
        <w:gridCol w:w="4125"/>
      </w:tblGrid>
      <w:tr>
        <w:trPr>
          <w:cnfStyle w:val="100000000000" w:firstRow="1" w:lastRow="0" w:firstColumn="0" w:lastColumn="0" w:oddVBand="0" w:evenVBand="0" w:oddHBand="0" w:evenHBand="0" w:firstRowFirstColumn="0" w:firstRowLastColumn="0" w:lastRowFirstColumn="0" w:lastRowLastColumn="0"/>
        </w:trPr>
        <w:tc>
          <w:tcPr>
            <w:tcW w:w="787"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2240"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3291" w:type="dxa"/>
            <w:gridSpan w:val="2"/>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1848"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977"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4125"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787" w:type="dxa"/>
            <w:vMerge w:val="continue"/>
            <w:tcBorders/>
          </w:tcPr>
          <w:p>
            <w:pPr>
              <w:pStyle w:val="Style26"/>
              <w:widowControl w:val="false"/>
              <w:suppressAutoHyphens w:val="true"/>
              <w:spacing w:before="40" w:after="40"/>
              <w:jc w:val="center"/>
              <w:rPr>
                <w:sz w:val="18"/>
                <w:szCs w:val="18"/>
              </w:rPr>
            </w:pPr>
            <w:r>
              <w:rPr>
                <w:sz w:val="18"/>
                <w:szCs w:val="18"/>
              </w:rPr>
            </w:r>
          </w:p>
        </w:tc>
        <w:tc>
          <w:tcPr>
            <w:tcW w:w="2240" w:type="dxa"/>
            <w:vMerge w:val="continue"/>
            <w:tcBorders/>
          </w:tcPr>
          <w:p>
            <w:pPr>
              <w:pStyle w:val="Style26"/>
              <w:widowControl w:val="false"/>
              <w:suppressAutoHyphens w:val="true"/>
              <w:spacing w:before="40" w:after="40"/>
              <w:jc w:val="center"/>
              <w:rPr>
                <w:sz w:val="18"/>
                <w:szCs w:val="18"/>
              </w:rPr>
            </w:pPr>
            <w:r>
              <w:rPr>
                <w:sz w:val="18"/>
                <w:szCs w:val="18"/>
              </w:rPr>
            </w:r>
          </w:p>
        </w:tc>
        <w:tc>
          <w:tcPr>
            <w:tcW w:w="1594"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697"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1848" w:type="dxa"/>
            <w:vMerge w:val="continue"/>
            <w:tcBorders/>
          </w:tcPr>
          <w:p>
            <w:pPr>
              <w:pStyle w:val="Style26"/>
              <w:widowControl w:val="false"/>
              <w:suppressAutoHyphens w:val="true"/>
              <w:spacing w:before="40" w:after="40"/>
              <w:jc w:val="center"/>
              <w:rPr>
                <w:sz w:val="18"/>
                <w:szCs w:val="18"/>
              </w:rPr>
            </w:pPr>
            <w:r>
              <w:rPr>
                <w:sz w:val="18"/>
                <w:szCs w:val="18"/>
              </w:rPr>
            </w:r>
          </w:p>
        </w:tc>
        <w:tc>
          <w:tcPr>
            <w:tcW w:w="1977" w:type="dxa"/>
            <w:vMerge w:val="continue"/>
            <w:tcBorders/>
          </w:tcPr>
          <w:p>
            <w:pPr>
              <w:pStyle w:val="Style26"/>
              <w:widowControl w:val="false"/>
              <w:suppressAutoHyphens w:val="true"/>
              <w:spacing w:before="40" w:after="40"/>
              <w:jc w:val="center"/>
              <w:rPr>
                <w:sz w:val="18"/>
                <w:szCs w:val="18"/>
              </w:rPr>
            </w:pPr>
            <w:r>
              <w:rPr>
                <w:sz w:val="18"/>
                <w:szCs w:val="18"/>
              </w:rPr>
            </w:r>
          </w:p>
        </w:tc>
        <w:tc>
          <w:tcPr>
            <w:tcW w:w="4125" w:type="dxa"/>
            <w:vMerge w:val="continue"/>
            <w:tcBorders/>
          </w:tcPr>
          <w:p>
            <w:pPr>
              <w:pStyle w:val="Style26"/>
              <w:widowControl w:val="false"/>
              <w:suppressAutoHyphens w:val="true"/>
              <w:spacing w:before="40" w:after="40"/>
              <w:jc w:val="center"/>
              <w:rPr>
                <w:sz w:val="18"/>
                <w:szCs w:val="18"/>
              </w:rPr>
            </w:pPr>
            <w:r>
              <w:rPr>
                <w:sz w:val="18"/>
                <w:szCs w:val="18"/>
              </w:rPr>
            </w:r>
          </w:p>
        </w:tc>
      </w:tr>
      <w:tr>
        <w:trPr/>
        <w:tc>
          <w:tcPr>
            <w:tcW w:w="787" w:type="dxa"/>
            <w:tcBorders/>
          </w:tcPr>
          <w:p>
            <w:pPr>
              <w:pStyle w:val="Normal"/>
              <w:widowControl w:val="false"/>
              <w:suppressAutoHyphens w:val="true"/>
              <w:spacing w:before="40" w:after="40"/>
              <w:jc w:val="left"/>
              <w:rPr>
                <w:sz w:val="18"/>
                <w:szCs w:val="18"/>
              </w:rPr>
            </w:pPr>
            <w:r>
              <w:rPr>
                <w:rFonts w:eastAsia="Calibri" w:cs=""/>
                <w:i/>
                <w:iCs/>
                <w:kern w:val="0"/>
                <w:sz w:val="26"/>
                <w:szCs w:val="22"/>
                <w:lang w:val="ru-RU" w:eastAsia="en-US" w:bidi="ar-SA"/>
              </w:rPr>
              <w:t>1.</w:t>
            </w:r>
          </w:p>
        </w:tc>
        <w:tc>
          <w:tcPr>
            <w:tcW w:w="2240"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«Ценовой критерий оценки первого уровня»/Цена</w:t>
            </w:r>
          </w:p>
        </w:tc>
        <w:tc>
          <w:tcPr>
            <w:tcW w:w="1594" w:type="dxa"/>
            <w:tcBorders/>
          </w:tcPr>
          <w:p>
            <w:pPr>
              <w:pStyle w:val="Normal"/>
              <w:widowControl w:val="false"/>
              <w:suppressAutoHyphens w:val="true"/>
              <w:spacing w:before="120" w:after="60"/>
              <w:jc w:val="left"/>
              <w:rPr>
                <w:i/>
                <w:i/>
                <w:sz w:val="20"/>
                <w:vertAlign w:val="subscript"/>
              </w:rPr>
            </w:pPr>
            <w:r>
              <w:rPr>
                <w:rFonts w:eastAsia="Calibri" w:cs=""/>
                <w:i/>
                <w:kern w:val="0"/>
                <w:sz w:val="20"/>
                <w:szCs w:val="22"/>
                <w:lang w:val="ru-RU" w:eastAsia="en-US" w:bidi="ar-SA"/>
              </w:rPr>
              <w:t xml:space="preserve">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 –</w:t>
            </w:r>
          </w:p>
          <w:p>
            <w:pPr>
              <w:pStyle w:val="Normal"/>
              <w:widowControl w:val="false"/>
              <w:suppressAutoHyphens w:val="true"/>
              <w:spacing w:before="120" w:after="60"/>
              <w:jc w:val="left"/>
              <w:rPr>
                <w:i/>
                <w:i/>
                <w:sz w:val="20"/>
              </w:rPr>
            </w:pPr>
            <w:r>
              <w:rPr>
                <w:rFonts w:eastAsia="Calibri" w:cs=""/>
                <w:i/>
                <w:kern w:val="0"/>
                <w:sz w:val="20"/>
                <w:szCs w:val="22"/>
                <w:lang w:val="ru-RU" w:eastAsia="en-US" w:bidi="ar-SA"/>
              </w:rPr>
              <w:t>тендерный коэффициент</w:t>
            </w:r>
          </w:p>
          <w:p>
            <w:pPr>
              <w:pStyle w:val="Normal"/>
              <w:widowControl w:val="false"/>
              <w:suppressAutoHyphens w:val="true"/>
              <w:spacing w:before="40" w:after="40"/>
              <w:jc w:val="left"/>
              <w:rPr>
                <w:rFonts w:eastAsia="Calibri"/>
                <w:i/>
                <w:i/>
                <w:sz w:val="18"/>
                <w:szCs w:val="18"/>
              </w:rPr>
            </w:pPr>
            <w:r>
              <w:rPr>
                <w:rFonts w:eastAsia="Calibri" w:cs=""/>
                <w:i/>
                <w:kern w:val="0"/>
                <w:sz w:val="20"/>
                <w:szCs w:val="22"/>
                <w:lang w:val="ru-RU" w:eastAsia="en-US" w:bidi="ar-SA"/>
              </w:rPr>
              <w:t>(Б</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w:t>
            </w:r>
          </w:p>
        </w:tc>
        <w:tc>
          <w:tcPr>
            <w:tcW w:w="1697"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отсутствует</w:t>
            </w:r>
          </w:p>
        </w:tc>
        <w:tc>
          <w:tcPr>
            <w:tcW w:w="1848" w:type="dxa"/>
            <w:tcBorders/>
          </w:tcPr>
          <w:p>
            <w:pPr>
              <w:pStyle w:val="Normal"/>
              <w:widowControl w:val="false"/>
              <w:suppressAutoHyphens w:val="true"/>
              <w:spacing w:before="120" w:after="60"/>
              <w:jc w:val="center"/>
              <w:rPr>
                <w:i/>
                <w:i/>
                <w:sz w:val="18"/>
                <w:szCs w:val="18"/>
              </w:rPr>
            </w:pPr>
            <w:r>
              <w:rPr>
                <w:rFonts w:eastAsia="Calibri" w:cs=""/>
                <w:i/>
                <w:kern w:val="0"/>
                <w:sz w:val="18"/>
                <w:szCs w:val="18"/>
                <w:lang w:val="ru-RU" w:eastAsia="en-US" w:bidi="ar-SA"/>
              </w:rPr>
              <w:t>90%</w:t>
            </w:r>
          </w:p>
          <w:p>
            <w:pPr>
              <w:pStyle w:val="Normal"/>
              <w:widowControl w:val="false"/>
              <w:suppressAutoHyphens w:val="true"/>
              <w:spacing w:before="40" w:after="40"/>
              <w:jc w:val="center"/>
              <w:rPr>
                <w:rFonts w:eastAsia="Calibri"/>
                <w:i/>
                <w:i/>
                <w:sz w:val="18"/>
                <w:szCs w:val="18"/>
              </w:rPr>
            </w:pPr>
            <w:r>
              <w:rPr>
                <w:rFonts w:eastAsia="Calibri" w:cs=""/>
                <w:i/>
                <w:kern w:val="0"/>
                <w:sz w:val="18"/>
                <w:szCs w:val="18"/>
                <w:lang w:val="ru-RU" w:eastAsia="en-US" w:bidi="ar-SA"/>
              </w:rPr>
              <w:t>(B</w:t>
            </w:r>
            <w:r>
              <w:rPr>
                <w:rFonts w:eastAsia="Calibri" w:cs=""/>
                <w:i/>
                <w:kern w:val="0"/>
                <w:sz w:val="18"/>
                <w:szCs w:val="18"/>
                <w:vertAlign w:val="subscript"/>
                <w:lang w:val="ru-RU" w:eastAsia="en-US" w:bidi="ar-SA"/>
              </w:rPr>
              <w:t>1</w:t>
            </w:r>
            <w:r>
              <w:rPr>
                <w:rFonts w:eastAsia="Calibri" w:cs=""/>
                <w:i/>
                <w:kern w:val="0"/>
                <w:sz w:val="18"/>
                <w:szCs w:val="18"/>
                <w:lang w:val="ru-RU" w:eastAsia="en-US" w:bidi="ar-SA"/>
              </w:rPr>
              <w:t xml:space="preserve"> = 0,90),</w:t>
            </w:r>
            <w:r>
              <w:rPr>
                <w:rFonts w:eastAsia="Calibri" w:cs=""/>
                <w:i/>
                <w:kern w:val="0"/>
                <w:sz w:val="22"/>
                <w:szCs w:val="22"/>
                <w:lang w:val="ru-RU" w:eastAsia="en-US" w:bidi="ar-SA"/>
              </w:rPr>
              <w:t xml:space="preserve"> где B</w:t>
            </w:r>
            <w:r>
              <w:rPr>
                <w:rFonts w:eastAsia="Calibri" w:cs=""/>
                <w:i/>
                <w:kern w:val="0"/>
                <w:sz w:val="22"/>
                <w:szCs w:val="22"/>
                <w:vertAlign w:val="subscript"/>
                <w:lang w:val="ru-RU" w:eastAsia="en-US" w:bidi="ar-SA"/>
              </w:rPr>
              <w:t xml:space="preserve">1- </w:t>
            </w:r>
            <w:r>
              <w:rPr>
                <w:rFonts w:eastAsia="Calibri" w:cs=""/>
                <w:i/>
                <w:kern w:val="0"/>
                <w:sz w:val="22"/>
                <w:szCs w:val="22"/>
                <w:vertAlign w:val="superscript"/>
                <w:lang w:val="ru-RU" w:eastAsia="en-US" w:bidi="ar-SA"/>
              </w:rPr>
              <w:t>значимость (вес) критерия оценки</w:t>
            </w:r>
          </w:p>
        </w:tc>
        <w:tc>
          <w:tcPr>
            <w:tcW w:w="1977" w:type="dxa"/>
            <w:tcBorders/>
          </w:tcPr>
          <w:p>
            <w:pPr>
              <w:pStyle w:val="Normal"/>
              <w:widowControl w:val="false"/>
              <w:suppressAutoHyphens w:val="true"/>
              <w:spacing w:before="0" w:after="60"/>
              <w:jc w:val="center"/>
              <w:rPr>
                <w:i/>
                <w:i/>
                <w:sz w:val="20"/>
              </w:rPr>
            </w:pPr>
            <w:r>
              <w:rPr>
                <w:rFonts w:eastAsia="Calibri" w:cs=""/>
                <w:i/>
                <w:kern w:val="0"/>
                <w:sz w:val="20"/>
                <w:szCs w:val="22"/>
                <w:lang w:val="ru-RU" w:eastAsia="en-US" w:bidi="ar-SA"/>
              </w:rPr>
              <w:t xml:space="preserve">Чем меньше предложенный Участником 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 xml:space="preserve"> -  тендерный коэффициент, тем выше предпочтительность</w:t>
            </w:r>
          </w:p>
          <w:p>
            <w:pPr>
              <w:pStyle w:val="Normal"/>
              <w:widowControl w:val="false"/>
              <w:suppressAutoHyphens w:val="true"/>
              <w:spacing w:before="40" w:after="40"/>
              <w:jc w:val="left"/>
              <w:rPr>
                <w:rFonts w:eastAsia="Calibri"/>
                <w:i/>
                <w:i/>
                <w:sz w:val="18"/>
                <w:szCs w:val="18"/>
              </w:rPr>
            </w:pPr>
            <w:r>
              <w:rPr>
                <w:rFonts w:eastAsia="Calibri"/>
                <w:i/>
                <w:sz w:val="18"/>
                <w:szCs w:val="18"/>
              </w:rPr>
            </w:r>
          </w:p>
        </w:tc>
        <w:tc>
          <w:tcPr>
            <w:tcW w:w="4125" w:type="dxa"/>
            <w:tcBorders/>
          </w:tcPr>
          <w:p>
            <w:pPr>
              <w:pStyle w:val="Normal"/>
              <w:widowControl w:val="false"/>
              <w:suppressAutoHyphens w:val="true"/>
              <w:spacing w:before="96" w:after="96"/>
              <w:jc w:val="left"/>
              <w:rPr>
                <w:rFonts w:eastAsia="Calibri"/>
                <w:sz w:val="20"/>
              </w:rPr>
            </w:pPr>
            <w:r>
              <w:rPr>
                <w:rFonts w:eastAsia="Calibri" w:cs=""/>
                <w:kern w:val="0"/>
                <w:sz w:val="20"/>
                <w:szCs w:val="22"/>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before="120" w:after="120"/>
              <w:jc w:val="center"/>
              <w:rPr>
                <w:rFonts w:eastAsia="Calibri"/>
                <w:sz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num>
                  <m:den>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keepNext w:val="true"/>
              <w:widowControl w:val="false"/>
              <w:suppressAutoHyphens w:val="true"/>
              <w:spacing w:before="96" w:after="60"/>
              <w:jc w:val="left"/>
              <w:rPr>
                <w:rFonts w:eastAsia="Calibri"/>
                <w:sz w:val="20"/>
              </w:rPr>
            </w:pPr>
            <w:r>
              <w:rPr>
                <w:rFonts w:eastAsia="Calibri" w:cs=""/>
                <w:kern w:val="0"/>
                <w:sz w:val="20"/>
                <w:szCs w:val="22"/>
                <w:lang w:val="ru-RU" w:eastAsia="en-US" w:bidi="ar-SA"/>
              </w:rPr>
              <w:t>где:</w:t>
            </w:r>
          </w:p>
          <w:p>
            <w:pPr>
              <w:pStyle w:val="Normal"/>
              <w:widowControl w:val="false"/>
              <w:tabs>
                <w:tab w:val="clear" w:pos="708"/>
                <w:tab w:val="left" w:pos="742" w:leader="none"/>
                <w:tab w:val="left" w:pos="1167" w:leader="none"/>
              </w:tabs>
              <w:suppressAutoHyphens w:val="true"/>
              <w:spacing w:before="120" w:after="60"/>
              <w:jc w:val="left"/>
              <w:rPr>
                <w:rFonts w:eastAsia="Calibri"/>
                <w:sz w:val="20"/>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Fonts w:eastAsia="Calibri" w:cs=""/>
                <w:kern w:val="0"/>
                <w:sz w:val="20"/>
                <w:szCs w:val="22"/>
                <w:lang w:val="ru-RU" w:eastAsia="en-US" w:bidi="ar-SA"/>
              </w:rPr>
              <w:t xml:space="preserve">– </w:t>
            </w:r>
            <w:r>
              <w:rPr>
                <w:rFonts w:eastAsia="Calibri" w:cs=""/>
                <w:kern w:val="0"/>
                <w:sz w:val="20"/>
                <w:szCs w:val="22"/>
                <w:lang w:val="ru-RU" w:eastAsia="en-US" w:bidi="ar-SA"/>
              </w:rPr>
              <w:t>рассчитанная оценка предпочтительности по данному критерию оценки в баллах;</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oMath>
            <w:r>
              <w:rPr>
                <w:rFonts w:eastAsia="Calibri" w:cs=""/>
                <w:kern w:val="0"/>
                <w:sz w:val="20"/>
                <w:szCs w:val="22"/>
                <w:lang w:val="ru-RU" w:eastAsia="en-US" w:bidi="ar-SA"/>
              </w:rPr>
              <w:tab/>
              <w:t>–</w:t>
              <w:tab/>
              <w:t xml:space="preserve">величина оцениваемого параметра, указанная в </w:t>
            </w:r>
            <w:r>
              <w:rPr>
                <w:rFonts w:eastAsia="Calibri" w:cs=""/>
                <w:kern w:val="0"/>
                <w:sz w:val="20"/>
                <w:szCs w:val="22"/>
                <w:lang w:val="en-US" w:eastAsia="en-US" w:bidi="ar-SA"/>
              </w:rPr>
              <w:t>i</w:t>
            </w:r>
            <w:r>
              <w:rPr>
                <w:rFonts w:eastAsia="Calibri" w:cs=""/>
                <w:kern w:val="0"/>
                <w:sz w:val="20"/>
                <w:szCs w:val="22"/>
                <w:lang w:val="ru-RU" w:eastAsia="en-US" w:bidi="ar-SA"/>
              </w:rPr>
              <w:t>-й заявке Участника;</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oMath>
            <w:r>
              <w:rPr>
                <w:rFonts w:eastAsia="Calibri" w:cs=""/>
                <w:kern w:val="0"/>
                <w:sz w:val="20"/>
                <w:szCs w:val="22"/>
                <w:lang w:val="ru-RU" w:eastAsia="en-US" w:bidi="ar-SA"/>
              </w:rPr>
              <w:tab/>
              <w:t>–</w:t>
              <w:tab/>
              <w:t>минимальная величина оцениваемого параметра среди всех допущенных заявок;</w:t>
            </w:r>
          </w:p>
          <w:p>
            <w:pPr>
              <w:pStyle w:val="Normal"/>
              <w:widowControl w:val="false"/>
              <w:suppressAutoHyphens w:val="true"/>
              <w:spacing w:before="96" w:after="96"/>
              <w:jc w:val="left"/>
              <w:rPr>
                <w:sz w:val="20"/>
              </w:rPr>
            </w:pPr>
            <w:r>
              <w:rPr>
                <w:rFonts w:eastAsia="Calibri" w:cs=""/>
                <w:kern w:val="0"/>
                <w:sz w:val="20"/>
                <w:szCs w:val="22"/>
                <w:lang w:val="ru-RU" w:eastAsia="en-US" w:bidi="ar-SA"/>
              </w:rPr>
              <w:t>Ш</w:t>
              <w:tab/>
              <w:t>–</w:t>
              <w:tab/>
              <w:t>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before="96" w:after="96"/>
              <w:jc w:val="left"/>
              <w:rPr>
                <w:rFonts w:eastAsia="Calibri"/>
                <w:sz w:val="18"/>
                <w:szCs w:val="18"/>
              </w:rPr>
            </w:pPr>
            <w:r>
              <w:rPr>
                <w:rFonts w:eastAsia="Calibri" w:cs=""/>
                <w:kern w:val="0"/>
                <w:sz w:val="20"/>
                <w:szCs w:val="22"/>
                <w:lang w:val="ru-RU" w:eastAsia="en-US" w:bidi="ar-SA"/>
              </w:rPr>
              <w:t>Шкала оценок от 0 до 5 баллов.</w:t>
            </w:r>
          </w:p>
        </w:tc>
      </w:tr>
      <w:tr>
        <w:trPr/>
        <w:tc>
          <w:tcPr>
            <w:tcW w:w="78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2.</w:t>
            </w:r>
          </w:p>
        </w:tc>
        <w:tc>
          <w:tcPr>
            <w:tcW w:w="2240" w:type="dxa"/>
            <w:tcBorders/>
          </w:tcPr>
          <w:p>
            <w:pPr>
              <w:pStyle w:val="Normal"/>
              <w:widowControl w:val="false"/>
              <w:suppressAutoHyphens w:val="true"/>
              <w:spacing w:before="120" w:after="60"/>
              <w:jc w:val="center"/>
              <w:rPr>
                <w:rFonts w:eastAsia="Calibri"/>
                <w:sz w:val="18"/>
                <w:szCs w:val="18"/>
              </w:rPr>
            </w:pPr>
            <w:r>
              <w:rPr>
                <w:rFonts w:eastAsia="Calibri" w:cs=""/>
                <w:i/>
                <w:iCs/>
                <w:kern w:val="0"/>
                <w:sz w:val="18"/>
                <w:szCs w:val="18"/>
                <w:lang w:val="ru-RU" w:eastAsia="en-US" w:bidi="ar-SA"/>
              </w:rPr>
              <w:t>«Неценовой критерий оценки первого уровня;</w:t>
              <w:br/>
              <w:t>Тех</w:t>
            </w:r>
          </w:p>
        </w:tc>
        <w:tc>
          <w:tcPr>
            <w:tcW w:w="1594" w:type="dxa"/>
            <w:tcBorders/>
          </w:tcPr>
          <w:p>
            <w:pPr>
              <w:pStyle w:val="Normal"/>
              <w:widowControl w:val="false"/>
              <w:suppressAutoHyphens w:val="true"/>
              <w:spacing w:before="120" w:after="60"/>
              <w:jc w:val="center"/>
              <w:rPr>
                <w:rFonts w:eastAsia="Calibri"/>
                <w:i/>
                <w:i/>
                <w:sz w:val="18"/>
                <w:szCs w:val="18"/>
              </w:rPr>
            </w:pPr>
            <w:r>
              <w:rPr>
                <w:rFonts w:eastAsia="Calibri" w:cs=""/>
                <w:i/>
                <w:kern w:val="0"/>
                <w:sz w:val="18"/>
                <w:szCs w:val="18"/>
                <w:lang w:val="ru-RU" w:eastAsia="en-US" w:bidi="ar-SA"/>
              </w:rPr>
              <w:t>Опыт Участника</w:t>
            </w:r>
          </w:p>
        </w:tc>
        <w:tc>
          <w:tcPr>
            <w:tcW w:w="1697" w:type="dxa"/>
            <w:tcBorders/>
          </w:tcPr>
          <w:p>
            <w:pPr>
              <w:pStyle w:val="Style26"/>
              <w:widowControl w:val="false"/>
              <w:suppressAutoHyphens w:val="true"/>
              <w:spacing w:before="40" w:after="40"/>
              <w:jc w:val="center"/>
              <w:rPr>
                <w:i/>
                <w:i/>
                <w:sz w:val="18"/>
                <w:szCs w:val="18"/>
              </w:rPr>
            </w:pPr>
            <w:r>
              <w:rPr>
                <w:rFonts w:eastAsia="Calibri" w:cs=""/>
                <w:i/>
                <w:kern w:val="0"/>
                <w:sz w:val="18"/>
                <w:szCs w:val="18"/>
                <w:lang w:val="ru-RU" w:eastAsia="en-US" w:bidi="ar-SA"/>
              </w:rPr>
              <w:t>отсутствует</w:t>
            </w:r>
          </w:p>
        </w:tc>
        <w:tc>
          <w:tcPr>
            <w:tcW w:w="1848" w:type="dxa"/>
            <w:tcBorders/>
          </w:tcPr>
          <w:p>
            <w:pPr>
              <w:pStyle w:val="Style26"/>
              <w:widowControl w:val="false"/>
              <w:suppressAutoHyphens w:val="true"/>
              <w:spacing w:before="40" w:after="40"/>
              <w:jc w:val="center"/>
              <w:rPr>
                <w:sz w:val="18"/>
                <w:szCs w:val="18"/>
              </w:rPr>
            </w:pPr>
            <w:r>
              <w:rPr/>
            </w:r>
            <m:oMathPara xmlns:m="http://schemas.openxmlformats.org/officeDocument/2006/math">
              <m:oMathParaPr>
                <m:jc m:val="center"/>
              </m:oMathParaPr>
              <m:o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2</m:t>
                        </m:r>
                      </m:sub>
                    </m:sSub>
                    <m:r>
                      <w:rPr>
                        <w:rFonts w:ascii="Cambria Math" w:hAnsi="Cambria Math"/>
                      </w:rPr>
                      <m:t xml:space="preserve">=</m:t>
                    </m:r>
                    <m:r>
                      <w:rPr>
                        <w:rFonts w:ascii="Cambria Math" w:hAnsi="Cambria Math"/>
                      </w:rPr>
                      <m:t xml:space="preserve">0,05</m:t>
                    </m:r>
                  </m:e>
                </m:d>
              </m:oMath>
            </m:oMathPara>
          </w:p>
          <w:p>
            <w:pPr>
              <w:pStyle w:val="Style26"/>
              <w:widowControl w:val="false"/>
              <w:suppressAutoHyphens w:val="true"/>
              <w:spacing w:before="40" w:after="40"/>
              <w:jc w:val="center"/>
              <w:rPr>
                <w:sz w:val="18"/>
                <w:szCs w:val="18"/>
              </w:rPr>
            </w:pPr>
            <w:r>
              <w:rPr>
                <w:rFonts w:eastAsia="Calibri" w:cs=""/>
                <w:i/>
                <w:i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2</m:t>
                  </m:r>
                </m:sub>
              </m:sSub>
            </m:oMath>
            <w:r>
              <w:rPr>
                <w:rFonts w:eastAsia="Calibri" w:cs=""/>
                <w:i/>
                <w:iCs/>
                <w:kern w:val="0"/>
                <w:sz w:val="18"/>
                <w:szCs w:val="18"/>
                <w:lang w:val="ru-RU" w:eastAsia="en-US" w:bidi="ar-SA"/>
              </w:rPr>
              <w:t xml:space="preserve"> – значимость (вес) критерия оценки]</w:t>
            </w:r>
          </w:p>
        </w:tc>
        <w:tc>
          <w:tcPr>
            <w:tcW w:w="1977" w:type="dxa"/>
            <w:tcBorders/>
          </w:tcPr>
          <w:p>
            <w:pPr>
              <w:pStyle w:val="Normal"/>
              <w:widowControl w:val="false"/>
              <w:suppressAutoHyphens w:val="true"/>
              <w:spacing w:before="120" w:after="60"/>
              <w:jc w:val="center"/>
              <w:rPr>
                <w:rFonts w:eastAsia="Calibri"/>
                <w:i/>
                <w:i/>
                <w:sz w:val="18"/>
                <w:szCs w:val="18"/>
              </w:rPr>
            </w:pPr>
            <w:r>
              <w:rPr>
                <w:rFonts w:eastAsia="Calibri" w:cs=""/>
                <w:i/>
                <w:kern w:val="0"/>
                <w:sz w:val="18"/>
                <w:szCs w:val="18"/>
                <w:lang w:val="ru-RU" w:eastAsia="en-US" w:bidi="ar-SA"/>
              </w:rPr>
              <w:t xml:space="preserve">Чем больше опыт по </w:t>
            </w:r>
            <w:r>
              <w:rPr>
                <w:rFonts w:eastAsia="Calibri" w:cs="" w:ascii="Times New Roman;serif" w:hAnsi="Times New Roman;serif"/>
                <w:i/>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
                <w:i/>
                <w:kern w:val="0"/>
                <w:sz w:val="18"/>
                <w:szCs w:val="18"/>
                <w:lang w:val="ru-RU" w:eastAsia="en-US" w:bidi="ar-SA"/>
              </w:rPr>
              <w:t>, тем выше предпочтительность</w:t>
            </w:r>
          </w:p>
        </w:tc>
        <w:tc>
          <w:tcPr>
            <w:tcW w:w="4125" w:type="dxa"/>
            <w:tcBorders/>
          </w:tcPr>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 xml:space="preserve">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w:t>
            </w:r>
            <w:r>
              <w:rPr>
                <w:rFonts w:eastAsia="Calibri" w:cs=""/>
                <w:kern w:val="0"/>
                <w:sz w:val="18"/>
                <w:szCs w:val="18"/>
                <w:lang w:val="ru-RU" w:eastAsia="en-US" w:bidi="ar-SA"/>
              </w:rPr>
              <w:t xml:space="preserve">по </w:t>
            </w:r>
            <w:r>
              <w:rPr>
                <w:rFonts w:eastAsia="Calibri" w:cs="" w:ascii="Times New Roman;serif" w:hAnsi="Times New Roman;serif"/>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Times New Roman"/>
                <w:kern w:val="0"/>
                <w:sz w:val="18"/>
                <w:szCs w:val="18"/>
                <w:lang w:val="ru-RU" w:eastAsia="en-US" w:bidi="ar-SA"/>
              </w:rPr>
              <w:t xml:space="preserve"> за последние 5 (пять) лет, </w:t>
            </w:r>
            <w:r>
              <w:rPr>
                <w:rFonts w:eastAsia="Calibri" w:cs="" w:ascii="Times New Roman;serif" w:hAnsi="Times New Roman;serif"/>
                <w:spacing w:val="-2"/>
                <w:kern w:val="0"/>
                <w:sz w:val="18"/>
                <w:szCs w:val="18"/>
                <w:lang w:val="ru-RU" w:eastAsia="en-US" w:bidi="ar-SA"/>
              </w:rPr>
              <w:t>предшествующие дате подачи заявки, по форме «Справка об опыте участника», приведенной в Документации о закупке, на общую сумму:</w:t>
            </w:r>
          </w:p>
          <w:tbl>
            <w:tblPr>
              <w:tblW w:w="5070" w:type="dxa"/>
              <w:jc w:val="left"/>
              <w:tblInd w:w="5" w:type="dxa"/>
              <w:tblLayout w:type="fixed"/>
              <w:tblCellMar>
                <w:top w:w="0" w:type="dxa"/>
                <w:left w:w="108" w:type="dxa"/>
                <w:bottom w:w="0" w:type="dxa"/>
                <w:right w:w="108" w:type="dxa"/>
              </w:tblCellMar>
              <w:tblLook w:val="04a0" w:noVBand="1" w:noHBand="0" w:lastColumn="0" w:firstColumn="1" w:lastRow="0" w:firstRow="1"/>
            </w:tblPr>
            <w:tblGrid>
              <w:gridCol w:w="1350"/>
              <w:gridCol w:w="3719"/>
            </w:tblGrid>
            <w:tr>
              <w:trPr>
                <w:trHeight w:val="675"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0</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cs="Times New Roman" w:ascii="Times New Roman" w:hAnsi="Times New Roman"/>
                      <w:sz w:val="18"/>
                      <w:szCs w:val="18"/>
                    </w:rPr>
                    <w:t>До 30% НМЦ без учета НДС (включительно);</w:t>
                  </w:r>
                </w:p>
              </w:tc>
            </w:tr>
            <w:tr>
              <w:trPr>
                <w:trHeight w:val="968"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1</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30% НМЦ «без учета НДС», но менее 40%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2</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40% НМЦ «без учета НДС», но менее 50%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 3</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50% НМЦ «без учета НДС», но менее 60%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Б</w:t>
                  </w:r>
                  <w:r>
                    <w:rPr>
                      <w:sz w:val="18"/>
                      <w:szCs w:val="18"/>
                      <w:vertAlign w:val="subscript"/>
                    </w:rPr>
                    <w:t>2.</w:t>
                  </w:r>
                  <w:r>
                    <w:rPr>
                      <w:sz w:val="18"/>
                      <w:szCs w:val="18"/>
                    </w:rPr>
                    <w:t xml:space="preserve"> = 4</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60% НМЦ «без учета НДС», но менее 70%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5</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eastAsia="Arial Unicode MS" w:cs="Times New Roman" w:ascii="Times New Roman" w:hAnsi="Times New Roman"/>
                      <w:sz w:val="18"/>
                      <w:szCs w:val="18"/>
                    </w:rPr>
                    <w:t>с</w:t>
                  </w:r>
                  <w:r>
                    <w:rPr>
                      <w:rStyle w:val="Annotationreference"/>
                      <w:rFonts w:eastAsia="Arial Unicode MS" w:cs="Times New Roman" w:ascii="Times New Roman" w:hAnsi="Times New Roman"/>
                      <w:sz w:val="18"/>
                    </w:rPr>
                    <w:t>выше 70% НМЦ без учета НДС;</w:t>
                  </w:r>
                </w:p>
              </w:tc>
            </w:tr>
          </w:tbl>
          <w:p>
            <w:pPr>
              <w:pStyle w:val="22"/>
              <w:keepNext w:val="true"/>
              <w:widowControl w:val="false"/>
              <w:spacing w:lineRule="auto" w:line="240" w:before="96" w:after="200"/>
              <w:ind w:left="720" w:hanging="0"/>
              <w:contextualSpacing/>
              <w:jc w:val="left"/>
              <w:rPr/>
            </w:pPr>
            <w:r>
              <w:rPr>
                <w:rFonts w:cs="Times New Roman" w:ascii="Times New Roman" w:hAnsi="Times New Roman"/>
                <w:sz w:val="18"/>
                <w:szCs w:val="18"/>
              </w:rPr>
              <w:t>где:</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spacing w:val="-2"/>
                <w:kern w:val="0"/>
                <w:sz w:val="18"/>
                <w:szCs w:val="18"/>
                <w:lang w:val="ru-RU" w:eastAsia="en-US" w:bidi="ar-SA"/>
              </w:rPr>
              <w:t>Б</w:t>
            </w:r>
            <w:r>
              <w:rPr>
                <w:rFonts w:eastAsia="Calibri" w:cs="Times New Roman"/>
                <w:spacing w:val="-2"/>
                <w:kern w:val="0"/>
                <w:sz w:val="18"/>
                <w:szCs w:val="18"/>
                <w:vertAlign w:val="subscript"/>
                <w:lang w:val="ru-RU" w:eastAsia="en-US" w:bidi="ar-SA"/>
              </w:rPr>
              <w:t>2</w:t>
            </w:r>
            <w:r>
              <w:rPr>
                <w:rFonts w:eastAsia="Calibri" w:cs="Times New Roman"/>
                <w:spacing w:val="-2"/>
                <w:kern w:val="0"/>
                <w:sz w:val="18"/>
                <w:szCs w:val="18"/>
                <w:lang w:val="ru-RU" w:eastAsia="en-US" w:bidi="ar-SA"/>
              </w:rPr>
              <w:t>  - рассчитанная оценка предпочтительности по данному частному критерию оценки в баллах.</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xml:space="preserve"> </w:t>
            </w:r>
            <w:r>
              <w:rPr>
                <w:rFonts w:eastAsia="Calibri" w:cs="Times New Roman" w:ascii="Times New Roman;serif" w:hAnsi="Times New Roman;serif"/>
                <w:spacing w:val="-2"/>
                <w:kern w:val="0"/>
                <w:sz w:val="18"/>
                <w:szCs w:val="18"/>
                <w:lang w:val="ru-RU" w:eastAsia="en-US" w:bidi="ar-SA"/>
              </w:rPr>
              <w:t>- копии договоров,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копии Актов выполненных работ к договорам (формы КС-2 и/или КС-3), подписанных с обеих сторон, с указанием стоимости и наименования выполненных работ;</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и/или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suppressAutoHyphens w:val="true"/>
              <w:spacing w:lineRule="auto" w:line="240" w:before="60" w:after="60"/>
              <w:ind w:left="0" w:hanging="0"/>
              <w:rPr>
                <w:kern w:val="0"/>
                <w:lang w:val="ru-RU" w:eastAsia="en-US" w:bidi="ar-SA"/>
              </w:rPr>
            </w:pPr>
            <w:r>
              <w:rPr>
                <w:rFonts w:eastAsia="Calibri" w:cs="Times New Roman" w:ascii="Times New Roman" w:hAnsi="Times New Roman"/>
                <w:kern w:val="0"/>
                <w:sz w:val="18"/>
                <w:szCs w:val="18"/>
                <w:lang w:val="ru-RU" w:eastAsia="en-US" w:bidi="ar-SA"/>
              </w:rPr>
              <w:t xml:space="preserve"> </w:t>
            </w:r>
            <w:r>
              <w:rPr>
                <w:rFonts w:eastAsia="Calibri" w:cs="Times New Roman" w:ascii="Times New Roman" w:hAnsi="Times New Roman"/>
                <w:kern w:val="0"/>
                <w:sz w:val="18"/>
                <w:szCs w:val="18"/>
                <w:lang w:val="ru-RU" w:eastAsia="en-US" w:bidi="ar-SA"/>
              </w:rPr>
              <w:t>Опыт, несоответствующий установленным в Документации о закупке требованиям не оценивается.</w:t>
            </w:r>
          </w:p>
          <w:p>
            <w:pPr>
              <w:pStyle w:val="22"/>
              <w:widowControl w:val="false"/>
              <w:suppressAutoHyphens w:val="true"/>
              <w:spacing w:lineRule="auto" w:line="240" w:before="60" w:after="60"/>
              <w:ind w:left="0" w:hanging="0"/>
              <w:rPr>
                <w:rFonts w:eastAsia="Calibri"/>
                <w:kern w:val="0"/>
                <w:lang w:val="ru-RU" w:eastAsia="en-US" w:bidi="ar-SA"/>
              </w:rPr>
            </w:pPr>
            <w:r>
              <w:rPr>
                <w:rFonts w:eastAsia="Calibri" w:cs="Times New Roman" w:ascii="Times New Roman" w:hAnsi="Times New Roman"/>
                <w:kern w:val="0"/>
                <w:sz w:val="18"/>
                <w:szCs w:val="18"/>
                <w:lang w:val="ru-RU" w:eastAsia="en-US" w:bidi="ar-SA"/>
              </w:rPr>
              <w:t>Шкала оценок от 0 до 5 баллов.</w:t>
            </w:r>
          </w:p>
        </w:tc>
      </w:tr>
      <w:tr>
        <w:trPr/>
        <w:tc>
          <w:tcPr>
            <w:tcW w:w="78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3.</w:t>
            </w:r>
          </w:p>
        </w:tc>
        <w:tc>
          <w:tcPr>
            <w:tcW w:w="2240" w:type="dxa"/>
            <w:tcBorders/>
          </w:tcPr>
          <w:p>
            <w:pPr>
              <w:pStyle w:val="Style26"/>
              <w:widowControl w:val="false"/>
              <w:suppressAutoHyphens w:val="true"/>
              <w:spacing w:before="40" w:after="40"/>
              <w:jc w:val="center"/>
              <w:rPr>
                <w:sz w:val="18"/>
                <w:szCs w:val="18"/>
              </w:rPr>
            </w:pPr>
            <w:r>
              <w:rPr>
                <w:rStyle w:val="Style8"/>
                <w:rFonts w:eastAsia="Calibri" w:cs=""/>
                <w:kern w:val="0"/>
                <w:sz w:val="18"/>
                <w:szCs w:val="18"/>
                <w:lang w:val="ru-RU" w:eastAsia="en-US" w:bidi="ar-SA"/>
              </w:rPr>
              <w:br/>
            </w:r>
            <w:r>
              <w:rPr>
                <w:rFonts w:eastAsia="Calibri" w:cs=""/>
                <w:i/>
                <w:iCs/>
                <w:kern w:val="0"/>
                <w:sz w:val="18"/>
                <w:szCs w:val="18"/>
                <w:lang w:val="ru-RU" w:eastAsia="en-US" w:bidi="ar-SA"/>
              </w:rPr>
              <w:t>«Неценовой критерий оценки первого уровня;</w:t>
              <w:br/>
              <w:t>Орг»</w:t>
            </w:r>
          </w:p>
        </w:tc>
        <w:tc>
          <w:tcPr>
            <w:tcW w:w="1594"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Финансовое состояние (устойчивость) Участника</w:t>
            </w:r>
          </w:p>
        </w:tc>
        <w:tc>
          <w:tcPr>
            <w:tcW w:w="1697" w:type="dxa"/>
            <w:tcBorders/>
          </w:tcPr>
          <w:p>
            <w:pPr>
              <w:pStyle w:val="Style26"/>
              <w:widowControl w:val="false"/>
              <w:suppressAutoHyphens w:val="true"/>
              <w:spacing w:before="40" w:after="40"/>
              <w:jc w:val="center"/>
              <w:rPr>
                <w:sz w:val="18"/>
                <w:szCs w:val="18"/>
              </w:rPr>
            </w:pPr>
            <w:r>
              <w:rPr>
                <w:rFonts w:eastAsia="Calibri" w:cs=""/>
                <w:i/>
                <w:iCs/>
                <w:kern w:val="0"/>
                <w:sz w:val="18"/>
                <w:szCs w:val="18"/>
                <w:lang w:val="ru-RU" w:eastAsia="en-US" w:bidi="ar-SA"/>
              </w:rPr>
              <w:t>отсутствует</w:t>
            </w:r>
          </w:p>
        </w:tc>
        <w:tc>
          <w:tcPr>
            <w:tcW w:w="1848" w:type="dxa"/>
            <w:tcBorders/>
          </w:tcPr>
          <w:p>
            <w:pPr>
              <w:pStyle w:val="Style26"/>
              <w:widowControl w:val="false"/>
              <w:suppressAutoHyphens w:val="true"/>
              <w:spacing w:before="40" w:after="40"/>
              <w:jc w:val="center"/>
              <w:rPr>
                <w:rStyle w:val="Style8"/>
                <w:sz w:val="18"/>
                <w:szCs w:val="18"/>
              </w:rPr>
            </w:pPr>
            <w:r>
              <w:rPr>
                <w:sz w:val="18"/>
                <w:szCs w:val="18"/>
              </w:rPr>
            </w:r>
          </w:p>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w:t>
            </w:r>
            <w:r>
              <w:rPr/>
            </w:r>
            <m:oMath xmlns:m="http://schemas.openxmlformats.org/officeDocument/2006/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3</m:t>
                      </m:r>
                    </m:sub>
                  </m:sSub>
                  <m:r>
                    <w:rPr>
                      <w:rFonts w:ascii="Cambria Math" w:hAnsi="Cambria Math"/>
                    </w:rPr>
                    <m:t xml:space="preserve">=</m:t>
                  </m:r>
                  <m:r>
                    <w:rPr>
                      <w:rFonts w:ascii="Cambria Math" w:hAnsi="Cambria Math"/>
                    </w:rPr>
                    <m:t xml:space="preserve">0,05</m:t>
                  </m:r>
                </m:e>
              </m:d>
            </m:oMath>
            <w:r>
              <w:rPr>
                <w:rFonts w:eastAsia="Calibri" w:cs=""/>
                <w:kern w:val="0"/>
                <w:sz w:val="18"/>
                <w:szCs w:val="18"/>
                <w:lang w:val="ru-RU" w:eastAsia="en-US" w:bidi="ar-SA"/>
              </w:rPr>
              <w:t>»,</w:t>
            </w:r>
          </w:p>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3</m:t>
                  </m:r>
                </m:sub>
              </m:sSub>
            </m:oMath>
            <w:r>
              <w:rPr>
                <w:rFonts w:eastAsia="Calibri" w:cs=""/>
                <w:kern w:val="0"/>
                <w:sz w:val="18"/>
                <w:szCs w:val="18"/>
                <w:lang w:val="ru-RU" w:eastAsia="en-US" w:bidi="ar-SA"/>
              </w:rPr>
              <w:t xml:space="preserve"> – значимость (вес) критерия оценки</w:t>
            </w:r>
          </w:p>
        </w:tc>
        <w:tc>
          <w:tcPr>
            <w:tcW w:w="197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4125" w:type="dxa"/>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6"/>
              <w:keepNext w:val="true"/>
              <w:widowControl w:val="false"/>
              <w:numPr>
                <w:ilvl w:val="0"/>
                <w:numId w:val="9"/>
              </w:numPr>
              <w:suppressAutoHyphens w:val="true"/>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5 к Положению об аккредитации</w:t>
            </w:r>
            <w:r>
              <w:rPr>
                <w:rStyle w:val="FootnoteReference"/>
                <w:rFonts w:eastAsia="Calibri" w:cs=""/>
                <w:kern w:val="0"/>
                <w:sz w:val="18"/>
                <w:szCs w:val="18"/>
                <w:lang w:val="ru-RU" w:eastAsia="en-US" w:bidi="ar-SA"/>
              </w:rPr>
              <w:footnoteReference w:id="18"/>
            </w:r>
            <w:r>
              <w:rPr>
                <w:rFonts w:eastAsia="Calibri" w:cs=""/>
                <w:kern w:val="0"/>
                <w:sz w:val="18"/>
                <w:szCs w:val="18"/>
                <w:lang w:val="ru-RU" w:eastAsia="en-US" w:bidi="ar-SA"/>
              </w:rPr>
              <w:t>;</w:t>
            </w:r>
          </w:p>
          <w:p>
            <w:pPr>
              <w:pStyle w:val="Style26"/>
              <w:keepNext w:val="true"/>
              <w:widowControl w:val="false"/>
              <w:numPr>
                <w:ilvl w:val="0"/>
                <w:numId w:val="9"/>
              </w:numPr>
              <w:suppressAutoHyphens w:val="true"/>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26"/>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suppressAutoHyphens w:val="true"/>
              <w:spacing w:before="40" w:after="40"/>
              <w:jc w:val="left"/>
              <w:rPr>
                <w:sz w:val="18"/>
                <w:szCs w:val="18"/>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afff0"/>
              <w:tblW w:w="3914"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084"/>
              <w:gridCol w:w="2829"/>
            </w:tblGrid>
            <w:tr>
              <w:trPr>
                <w:cnfStyle w:val="100000000000" w:firstRow="1" w:lastRow="0" w:firstColumn="0" w:lastColumn="0" w:oddVBand="0" w:evenVBand="0" w:oddHBand="0" w:evenHBand="0" w:firstRowFirstColumn="0" w:firstRowLastColumn="0" w:lastRowFirstColumn="0" w:lastRowLastColumn="0"/>
              </w:trPr>
              <w:tc>
                <w:tcPr>
                  <w:tcW w:w="1084" w:type="dxa"/>
                  <w:tcBorders/>
                </w:tcPr>
                <w:p>
                  <w:pPr>
                    <w:pStyle w:val="Style26"/>
                    <w:widowControl w:val="false"/>
                    <w:suppressAutoHyphens w:val="tru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0</m:t>
                      </m:r>
                    </m:oMath>
                  </m:oMathPara>
                </w:p>
              </w:tc>
              <w:tc>
                <w:tcPr>
                  <w:tcW w:w="2829" w:type="dxa"/>
                  <w:tcBorders/>
                </w:tcPr>
                <w:p>
                  <w:pPr>
                    <w:pStyle w:val="Style26"/>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26"/>
                    <w:keepNext w:val="true"/>
                    <w:widowControl w:val="false"/>
                    <w:suppressAutoHyphens w:val="tru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26"/>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6"/>
                    <w:keepNext w:val="true"/>
                    <w:widowControl w:val="false"/>
                    <w:numPr>
                      <w:ilvl w:val="0"/>
                      <w:numId w:val="9"/>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6"/>
                    <w:widowControl w:val="false"/>
                    <w:numPr>
                      <w:ilvl w:val="0"/>
                      <w:numId w:val="9"/>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1084" w:type="dxa"/>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3</m:t>
                      </m:r>
                    </m:oMath>
                  </m:oMathPara>
                </w:p>
              </w:tc>
              <w:tc>
                <w:tcPr>
                  <w:tcW w:w="2829" w:type="dxa"/>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1084" w:type="dxa"/>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5</m:t>
                      </m:r>
                    </m:oMath>
                  </m:oMathPara>
                </w:p>
              </w:tc>
              <w:tc>
                <w:tcPr>
                  <w:tcW w:w="2829" w:type="dxa"/>
                  <w:tcBorders/>
                </w:tcPr>
                <w:p>
                  <w:pPr>
                    <w:pStyle w:val="Style26"/>
                    <w:widowControl w:val="false"/>
                    <w:suppressAutoHyphens w:val="true"/>
                    <w:spacing w:before="40" w:after="40"/>
                    <w:jc w:val="left"/>
                    <w:rPr>
                      <w:sz w:val="18"/>
                      <w:szCs w:val="18"/>
                    </w:rPr>
                  </w:pPr>
                  <w:bookmarkStart w:id="444" w:name="_GoBack"/>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bookmarkEnd w:id="444"/>
                </w:p>
              </w:tc>
            </w:tr>
          </w:tbl>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26"/>
              <w:widowControl w:val="false"/>
              <w:suppressAutoHyphens w:val="true"/>
              <w:spacing w:before="40" w:after="40"/>
              <w:jc w:val="left"/>
              <w:rPr>
                <w:i/>
                <w:i/>
                <w:iCs/>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6"/>
              <w:widowControl w:val="false"/>
              <w:suppressAutoHyphens w:val="true"/>
              <w:spacing w:before="40" w:after="40"/>
              <w:jc w:val="left"/>
              <w:rPr>
                <w:sz w:val="18"/>
                <w:szCs w:val="18"/>
              </w:rPr>
            </w:pPr>
            <w:r>
              <w:rPr>
                <w:rFonts w:eastAsia="Calibri" w:cs=""/>
                <w:i/>
                <w:iCs/>
                <w:kern w:val="0"/>
                <w:sz w:val="18"/>
                <w:szCs w:val="18"/>
                <w:lang w:val="ru-RU"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r>
                <w:rPr>
                  <w:rStyle w:val="Style11"/>
                  <w:rFonts w:eastAsia="Calibri" w:cs=""/>
                  <w:i/>
                  <w:iCs/>
                  <w:kern w:val="0"/>
                  <w:sz w:val="18"/>
                  <w:szCs w:val="18"/>
                  <w:lang w:val="ru-RU" w:eastAsia="en-US" w:bidi="ar-SA"/>
                </w:rPr>
                <w:t>Приложение № 4</w:t>
              </w:r>
            </w:hyperlink>
            <w:r>
              <w:rPr>
                <w:rFonts w:eastAsia="Calibri" w:cs=""/>
                <w:i/>
                <w:iCs/>
                <w:kern w:val="0"/>
                <w:sz w:val="18"/>
                <w:szCs w:val="18"/>
                <w:lang w:val="ru-RU" w:eastAsia="en-US" w:bidi="ar-SA"/>
              </w:rPr>
              <w:t>), представленному в заявке такого Коллективного участника на участие в закупке.)</w:t>
            </w:r>
          </w:p>
        </w:tc>
      </w:tr>
      <w:tr>
        <w:trPr/>
        <w:tc>
          <w:tcPr>
            <w:tcW w:w="6318" w:type="dxa"/>
            <w:gridSpan w:val="4"/>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7950" w:type="dxa"/>
            <w:gridSpan w:val="3"/>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26"/>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26"/>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1"/>
          <w:headerReference w:type="first" r:id="rId42"/>
          <w:footerReference w:type="default" r:id="rId43"/>
          <w:footerReference w:type="first" r:id="rId4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2"/>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0"/>
        <w:rPr/>
      </w:pPr>
      <w:bookmarkStart w:id="445" w:name="__RefHeading___Toc192623_1558056896"/>
      <w:bookmarkStart w:id="446" w:name="_Ref125360420"/>
      <w:bookmarkStart w:id="447" w:name="_Toc186224183"/>
      <w:bookmarkStart w:id="448" w:name="Прил09_ОбоснованиеНМЦ"/>
      <w:bookmarkEnd w:id="445"/>
      <w:bookmarkEnd w:id="448"/>
      <w:r>
        <w:rPr/>
        <w:t>Приложение № 9 – Обоснование НМЦ</w:t>
      </w:r>
      <w:bookmarkEnd w:id="446"/>
      <w:bookmarkEnd w:id="447"/>
    </w:p>
    <w:p>
      <w:pPr>
        <w:pStyle w:val="Style21"/>
        <w:rPr/>
      </w:pPr>
      <w:bookmarkStart w:id="449" w:name="__RefHeading___Toc192625_1558056896"/>
      <w:bookmarkStart w:id="450" w:name="_Toc186224184"/>
      <w:bookmarkEnd w:id="449"/>
      <w:r>
        <w:rPr/>
        <w:t>Пояснения к Обоснованию НМЦ</w:t>
      </w:r>
      <w:bookmarkEnd w:id="450"/>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rPr/>
      </w:pPr>
      <w:bookmarkStart w:id="451" w:name="__RefHeading___Toc192627_1558056896"/>
      <w:bookmarkStart w:id="452" w:name="_Toc186224185"/>
      <w:bookmarkStart w:id="453" w:name="Прил10_ФормаЗаявкиНаАккредитацию"/>
      <w:bookmarkEnd w:id="451"/>
      <w:bookmarkEnd w:id="453"/>
      <w:r>
        <w:rPr/>
        <w:t>Приложение № 10 – Форма Заявки на аккредитацию</w:t>
      </w:r>
      <w:bookmarkEnd w:id="452"/>
    </w:p>
    <w:p>
      <w:pPr>
        <w:pStyle w:val="Style21"/>
        <w:rPr/>
      </w:pPr>
      <w:bookmarkStart w:id="454" w:name="__RefHeading___Toc192629_1558056896"/>
      <w:bookmarkStart w:id="455" w:name="_Toc186224186"/>
      <w:bookmarkEnd w:id="454"/>
      <w:r>
        <w:rPr/>
        <w:t>Пояснения к форме Заявки на аккредитацию</w:t>
      </w:r>
      <w:bookmarkEnd w:id="455"/>
    </w:p>
    <w:p>
      <w:pPr>
        <w:pStyle w:val="Style22"/>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6"/>
        <w:jc w:val="center"/>
        <w:rPr/>
      </w:pPr>
      <w:r>
        <w:rPr/>
        <w:object>
          <v:shapetype id="_x0000_tole_rId45" coordsize="21600,21600" o:spt="ole_rId4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5" type="_x0000_tole_rId45" style="width:76.5pt;height:48.75pt;mso-wrap-distance-right:0pt" filled="f" o:ole="">
            <v:imagedata r:id="rId46" o:title=""/>
          </v:shape>
          <o:OLEObject Type="Embed" ProgID="Excel.Sheet.12" ShapeID="ole_rId45" DrawAspect="Icon" ObjectID="_378427524" r:id="rId45"/>
        </w:object>
      </w:r>
    </w:p>
    <w:sectPr>
      <w:headerReference w:type="default" r:id="rId47"/>
      <w:headerReference w:type="first" r:id="rId48"/>
      <w:footerReference w:type="default" r:id="rId49"/>
      <w:footerReference w:type="first" r:id="rId5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Times New Roman">
    <w:altName w:val="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5138151"/>
    </w:sdtPr>
    <w:sdtContent>
      <w:p>
        <w:pPr>
          <w:pStyle w:val="Footer"/>
          <w:spacing w:before="120" w:after="0"/>
          <w:rPr>
            <w:rStyle w:val="Style8"/>
            <w:rFonts w:ascii="Times New Roman" w:hAnsi="Times New Roman" w:eastAsia="Calibri" w:cs=""/>
            <w:kern w:val="0"/>
            <w:sz w:val="26"/>
            <w:szCs w:val="22"/>
            <w:lang w:val="ru-RU" w:eastAsia="en-US" w:bidi="ar-SA"/>
          </w:rPr>
        </w:pPr>
        <w:r>
          <w:rPr/>
          <w:fldChar w:fldCharType="begin"/>
        </w:r>
        <w:r>
          <w:rPr/>
          <w:instrText xml:space="preserve"> PAGE </w:instrText>
        </w:r>
        <w:r>
          <w:rPr/>
          <w:fldChar w:fldCharType="separate"/>
        </w:r>
        <w:r>
          <w:rPr/>
          <w:t>23</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99714268"/>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98352850"/>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12124049"/>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04844235"/>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9618935"/>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51572284"/>
    </w:sdtPr>
    <w:sdtContent>
      <w:p>
        <w:pPr>
          <w:pStyle w:val="Footer"/>
          <w:spacing w:before="120" w:after="0"/>
          <w:rPr/>
        </w:pPr>
        <w:r>
          <w:rPr/>
          <w:fldChar w:fldCharType="begin"/>
        </w:r>
        <w:r>
          <w:rPr/>
          <w:instrText xml:space="preserve"> PAGE </w:instrText>
        </w:r>
        <w:r>
          <w:rPr/>
          <w:fldChar w:fldCharType="separate"/>
        </w:r>
        <w:r>
          <w:rPr/>
          <w:t>45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14967347"/>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20855804"/>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8"/>
        <w:spacing w:before="80" w:after="0"/>
        <w:ind w:left="567" w:hanging="567"/>
        <w:jc w:val="both"/>
        <w:rPr/>
      </w:pPr>
      <w:r>
        <w:rPr>
          <w:rStyle w:val="Style10"/>
        </w:rPr>
        <w:footnoteRef/>
      </w:r>
      <w:r>
        <w:rPr/>
        <w:tab/>
        <w:t>https://minfin.gov.ru/ru/perfomance/tax_relations/policy/bankwarranty/</w:t>
      </w:r>
    </w:p>
  </w:footnote>
  <w:footnote w:id="12">
    <w:p>
      <w:pPr>
        <w:pStyle w:val="Style28"/>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Normal"/>
        <w:widowControl w:val="false"/>
        <w:tabs>
          <w:tab w:val="clear" w:pos="708"/>
          <w:tab w:val="left" w:pos="0" w:leader="none"/>
        </w:tabs>
        <w:spacing w:before="20" w:after="20"/>
        <w:ind w:left="0" w:hanging="0"/>
        <w:jc w:val="both"/>
        <w:rPr>
          <w:rStyle w:val="Style16"/>
          <w:b w:val="false"/>
          <w:sz w:val="20"/>
          <w:szCs w:val="20"/>
        </w:rPr>
      </w:pPr>
      <w:r>
        <w:rPr>
          <w:rStyle w:val="Style10"/>
        </w:rPr>
        <w:footnoteRef/>
      </w:r>
      <w:r>
        <w:rPr>
          <w:rFonts w:eastAsia="Times New Roman"/>
          <w:sz w:val="20"/>
          <w:szCs w:val="20"/>
          <w:vertAlign w:val="superscript"/>
        </w:rPr>
        <w:t xml:space="preserve"> </w:t>
      </w:r>
      <w:r>
        <w:rPr>
          <w:rFonts w:eastAsia="Times New Roman"/>
          <w:sz w:val="20"/>
          <w:szCs w:val="20"/>
        </w:rPr>
        <w:t>Не требуется членство в СРО в области строительства Участникам закупки:</w:t>
      </w:r>
      <w:r>
        <w:rPr>
          <w:rStyle w:val="Style16"/>
          <w:b w:val="false"/>
          <w:sz w:val="20"/>
          <w:szCs w:val="20"/>
        </w:rPr>
        <w:t xml:space="preserve"> </w:t>
      </w:r>
    </w:p>
    <w:p>
      <w:pPr>
        <w:pStyle w:val="ListParagraph"/>
        <w:widowControl w:val="false"/>
        <w:numPr>
          <w:ilvl w:val="0"/>
          <w:numId w:val="15"/>
        </w:numPr>
        <w:tabs>
          <w:tab w:val="clear" w:pos="708"/>
          <w:tab w:val="left" w:pos="142" w:leader="none"/>
        </w:tabs>
        <w:spacing w:before="20" w:after="20"/>
        <w:contextualSpacing w:val="false"/>
        <w:jc w:val="both"/>
        <w:rPr>
          <w:rFonts w:eastAsia="Times New Roman"/>
          <w:sz w:val="20"/>
          <w:szCs w:val="20"/>
        </w:rPr>
      </w:pPr>
      <w:r>
        <w:rPr>
          <w:rFonts w:eastAsia="Times New Roman"/>
          <w:sz w:val="20"/>
          <w:szCs w:val="20"/>
        </w:rPr>
        <w:t>перечисленным в ч. 2.2 ст. 52 ГрК РФ;</w:t>
      </w:r>
    </w:p>
    <w:p>
      <w:pPr>
        <w:pStyle w:val="ListParagraph"/>
        <w:widowControl w:val="false"/>
        <w:numPr>
          <w:ilvl w:val="0"/>
          <w:numId w:val="15"/>
        </w:numPr>
        <w:tabs>
          <w:tab w:val="clear" w:pos="708"/>
          <w:tab w:val="left" w:pos="142" w:leader="none"/>
        </w:tabs>
        <w:spacing w:before="20" w:after="20"/>
        <w:contextualSpacing w:val="false"/>
        <w:jc w:val="both"/>
        <w:rPr>
          <w:rFonts w:eastAsia="Times New Roman"/>
          <w:sz w:val="20"/>
          <w:szCs w:val="20"/>
        </w:rPr>
      </w:pPr>
      <w:r>
        <w:rPr>
          <w:rFonts w:eastAsia="Times New Roman"/>
          <w:sz w:val="20"/>
          <w:szCs w:val="20"/>
        </w:rPr>
        <w:t>предложивших цену договора, не превышающую 10 млн. руб., в соответствии с ч. 2.1 ст. 52 ГрК РФ</w:t>
      </w:r>
    </w:p>
  </w:footnote>
  <w:footnote w:id="16">
    <w:p>
      <w:pPr>
        <w:pStyle w:val="ListParagraph"/>
        <w:widowControl w:val="false"/>
        <w:tabs>
          <w:tab w:val="clear" w:pos="708"/>
          <w:tab w:val="left" w:pos="284" w:leader="none"/>
        </w:tabs>
        <w:spacing w:before="20" w:after="20"/>
        <w:ind w:left="142" w:hanging="142"/>
        <w:contextualSpacing w:val="false"/>
        <w:jc w:val="both"/>
        <w:rPr>
          <w:rStyle w:val="Style16"/>
          <w:b w:val="false"/>
          <w:sz w:val="20"/>
          <w:szCs w:val="20"/>
        </w:rPr>
      </w:pPr>
      <w:r>
        <w:rPr>
          <w:rStyle w:val="Style10"/>
        </w:rPr>
        <w:footnoteRef/>
      </w:r>
      <w:r>
        <w:rPr>
          <w:rFonts w:eastAsia="Times New Roman"/>
          <w:sz w:val="20"/>
          <w:szCs w:val="20"/>
        </w:rPr>
        <w:tab/>
        <w:t>Не требуется членство в СРО в области инженерных изысканий Участникам закупки, перечисленным в ч. 2.1 ст. 47 ГрК РФ;</w:t>
      </w:r>
    </w:p>
  </w:footnote>
  <w:footnote w:id="17">
    <w:p>
      <w:pPr>
        <w:pStyle w:val="ListParagraph"/>
        <w:widowControl w:val="false"/>
        <w:tabs>
          <w:tab w:val="clear" w:pos="708"/>
          <w:tab w:val="left" w:pos="142" w:leader="none"/>
        </w:tabs>
        <w:spacing w:before="20" w:after="20"/>
        <w:ind w:left="142" w:hanging="142"/>
        <w:contextualSpacing w:val="false"/>
        <w:jc w:val="both"/>
        <w:rPr>
          <w:sz w:val="16"/>
          <w:szCs w:val="16"/>
        </w:rPr>
      </w:pPr>
      <w:r>
        <w:rPr>
          <w:rStyle w:val="Style10"/>
        </w:rPr>
        <w:footnoteRef/>
      </w:r>
      <w:r>
        <w:rPr>
          <w:rFonts w:eastAsia="Times New Roman"/>
          <w:sz w:val="20"/>
          <w:szCs w:val="20"/>
        </w:rPr>
        <w:tab/>
        <w:t>Не требуется членство в СРО в области архитектурно-строительного проектирования Участникам закупки, перечисленным в ч. 4.1 ст. 48 ГрК РФ.</w:t>
      </w:r>
    </w:p>
  </w:footnote>
  <w:footnote w:id="18">
    <w:p>
      <w:pPr>
        <w:pStyle w:val="Style28"/>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uppressAutoHyphens w:val="true"/>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uppressAutoHyphens w:val="true"/>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0"/>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name w:val="Ссылка указателя"/>
    <w:qFormat/>
    <w:rPr/>
  </w:style>
  <w:style w:type="character" w:styleId="Style16">
    <w:name w:val="комментарий"/>
    <w:qFormat/>
    <w:rPr>
      <w:b/>
      <w:i/>
      <w:shd w:fill="FFFF99" w:val="clear"/>
    </w:rPr>
  </w:style>
  <w:style w:type="character" w:styleId="Style17">
    <w:name w:val="Символ концевой сноски"/>
    <w:qFormat/>
    <w:rPr>
      <w:vertAlign w:val="superscript"/>
    </w:rPr>
  </w:style>
  <w:style w:type="character" w:styleId="EndnoteReference">
    <w:name w:val="Endnote Reference"/>
    <w:rPr>
      <w:vertAlign w:val="superscript"/>
    </w:rPr>
  </w:style>
  <w:style w:type="paragraph" w:styleId="Style18">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РГ] Раздел"/>
    <w:basedOn w:val="Normal"/>
    <w:next w:val="Style21"/>
    <w:qFormat/>
    <w:rsid w:val="00c95e18"/>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rsid w:val="00891546"/>
    <w:pPr>
      <w:keepNext w:val="true"/>
      <w:numPr>
        <w:ilvl w:val="1"/>
        <w:numId w:val="1"/>
      </w:numPr>
      <w:spacing w:before="360" w:after="0"/>
      <w:jc w:val="both"/>
      <w:outlineLvl w:val="1"/>
    </w:pPr>
    <w:rPr>
      <w:b/>
      <w:bCs/>
    </w:rPr>
  </w:style>
  <w:style w:type="paragraph" w:styleId="Style22" w:customStyle="1">
    <w:name w:val="[РГ] Пункт"/>
    <w:basedOn w:val="Normal"/>
    <w:qFormat/>
    <w:rsid w:val="00891546"/>
    <w:pPr>
      <w:numPr>
        <w:ilvl w:val="2"/>
        <w:numId w:val="1"/>
      </w:numPr>
      <w:jc w:val="both"/>
      <w:outlineLvl w:val="2"/>
    </w:pPr>
    <w:rPr/>
  </w:style>
  <w:style w:type="paragraph" w:styleId="Style23" w:customStyle="1">
    <w:name w:val="[РГ] Подпункт"/>
    <w:basedOn w:val="Normal"/>
    <w:qFormat/>
    <w:rsid w:val="00891546"/>
    <w:pPr>
      <w:numPr>
        <w:ilvl w:val="3"/>
        <w:numId w:val="1"/>
      </w:numPr>
      <w:jc w:val="both"/>
      <w:outlineLvl w:val="3"/>
    </w:pPr>
    <w:rPr/>
  </w:style>
  <w:style w:type="paragraph" w:styleId="Style24" w:customStyle="1">
    <w:name w:val="[РГ] Перечисление"/>
    <w:basedOn w:val="Normal"/>
    <w:qFormat/>
    <w:rsid w:val="00891546"/>
    <w:pPr>
      <w:numPr>
        <w:ilvl w:val="4"/>
        <w:numId w:val="1"/>
      </w:numPr>
      <w:jc w:val="both"/>
      <w:outlineLvl w:val="4"/>
    </w:pPr>
    <w:rPr/>
  </w:style>
  <w:style w:type="paragraph" w:styleId="Style25" w:customStyle="1">
    <w:name w:val="[РГ] Заголовок"/>
    <w:basedOn w:val="Normal"/>
    <w:next w:val="Style26"/>
    <w:qFormat/>
    <w:rsid w:val="00f87384"/>
    <w:pPr>
      <w:keepNext w:val="true"/>
      <w:pageBreakBefore/>
      <w:spacing w:before="0" w:after="360"/>
      <w:jc w:val="both"/>
    </w:pPr>
    <w:rPr>
      <w:b/>
      <w:bCs/>
      <w:caps/>
    </w:rPr>
  </w:style>
  <w:style w:type="paragraph" w:styleId="Style26" w:customStyle="1">
    <w:name w:val="[РГ] Текст"/>
    <w:basedOn w:val="Normal"/>
    <w:qFormat/>
    <w:rsid w:val="00891546"/>
    <w:pPr>
      <w:jc w:val="both"/>
    </w:pPr>
    <w:rPr/>
  </w:style>
  <w:style w:type="paragraph" w:styleId="Style27">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8"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29" w:customStyle="1">
    <w:name w:val="[РГ] Альтернатива / Дополнение"/>
    <w:basedOn w:val="Style26"/>
    <w:next w:val="Style26"/>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0"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1" w:customStyle="1">
    <w:name w:val="Подпункт"/>
    <w:basedOn w:val="Style30"/>
    <w:qFormat/>
    <w:rsid w:val="00493761"/>
    <w:pPr>
      <w:numPr>
        <w:ilvl w:val="3"/>
      </w:numPr>
      <w:tabs>
        <w:tab w:val="clear" w:pos="708"/>
      </w:tabs>
      <w:ind w:left="2880" w:hanging="360"/>
    </w:pPr>
    <w:rPr/>
  </w:style>
  <w:style w:type="paragraph" w:styleId="Style32" w:customStyle="1">
    <w:name w:val="Подподпункт"/>
    <w:basedOn w:val="Style31"/>
    <w:qFormat/>
    <w:rsid w:val="00493761"/>
    <w:pPr>
      <w:numPr>
        <w:ilvl w:val="4"/>
      </w:numPr>
      <w:ind w:left="3600" w:hanging="360"/>
    </w:pPr>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paragraph" w:styleId="Tableheader">
    <w:name w:val="Table_header"/>
    <w:basedOn w:val="Normal"/>
    <w:qFormat/>
    <w:pPr/>
    <w:rPr>
      <w:b/>
      <w:sz w:val="20"/>
      <w:szCs w:val="24"/>
    </w:rPr>
  </w:style>
  <w:style w:type="paragraph" w:styleId="-">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22">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8">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9">
    <w:name w:val="Table Grid"/>
    <w:basedOn w:val="a9"/>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yperlink" Target="https://reestr.nostroy.ru/sro/all/member/list)" TargetMode="External"/><Relationship Id="rId20" Type="http://schemas.openxmlformats.org/officeDocument/2006/relationships/hyperlink" Target="http://nopriz.ru/nreesters/elektronnyy-reestr/" TargetMode="External"/><Relationship Id="rId21" Type="http://schemas.openxmlformats.org/officeDocument/2006/relationships/header" Target="header6.xml"/><Relationship Id="rId22" Type="http://schemas.openxmlformats.org/officeDocument/2006/relationships/header" Target="header7.xml"/><Relationship Id="rId23" Type="http://schemas.openxmlformats.org/officeDocument/2006/relationships/footer" Target="footer6.xml"/><Relationship Id="rId24" Type="http://schemas.openxmlformats.org/officeDocument/2006/relationships/footer" Target="footer7.xml"/><Relationship Id="rId25" Type="http://schemas.openxmlformats.org/officeDocument/2006/relationships/header" Target="header8.xml"/><Relationship Id="rId26" Type="http://schemas.openxmlformats.org/officeDocument/2006/relationships/header" Target="header9.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package" Target="embeddings/oleObject2.docx"/><Relationship Id="rId30" Type="http://schemas.openxmlformats.org/officeDocument/2006/relationships/image" Target="media/image2.wmf"/><Relationship Id="rId31" Type="http://schemas.openxmlformats.org/officeDocument/2006/relationships/package" Target="embeddings/oleObject3.docx"/><Relationship Id="rId32" Type="http://schemas.openxmlformats.org/officeDocument/2006/relationships/image" Target="media/image3.wmf"/><Relationship Id="rId33" Type="http://schemas.openxmlformats.org/officeDocument/2006/relationships/header" Target="header10.xml"/><Relationship Id="rId34" Type="http://schemas.openxmlformats.org/officeDocument/2006/relationships/header" Target="header11.xml"/><Relationship Id="rId35" Type="http://schemas.openxmlformats.org/officeDocument/2006/relationships/footer" Target="footer10.xml"/><Relationship Id="rId36" Type="http://schemas.openxmlformats.org/officeDocument/2006/relationships/footer" Target="footer11.xml"/><Relationship Id="rId37" Type="http://schemas.openxmlformats.org/officeDocument/2006/relationships/header" Target="header12.xml"/><Relationship Id="rId38" Type="http://schemas.openxmlformats.org/officeDocument/2006/relationships/header" Target="header13.xml"/><Relationship Id="rId39" Type="http://schemas.openxmlformats.org/officeDocument/2006/relationships/footer" Target="footer12.xml"/><Relationship Id="rId40" Type="http://schemas.openxmlformats.org/officeDocument/2006/relationships/footer" Target="footer13.xml"/><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4.xml"/><Relationship Id="rId44" Type="http://schemas.openxmlformats.org/officeDocument/2006/relationships/footer" Target="footer15.xml"/><Relationship Id="rId45" Type="http://schemas.openxmlformats.org/officeDocument/2006/relationships/package" Target="embeddings/oleObject4.xlsx"/><Relationship Id="rId46" Type="http://schemas.openxmlformats.org/officeDocument/2006/relationships/image" Target="media/image4.wmf"/><Relationship Id="rId47" Type="http://schemas.openxmlformats.org/officeDocument/2006/relationships/header" Target="header16.xml"/><Relationship Id="rId48" Type="http://schemas.openxmlformats.org/officeDocument/2006/relationships/header" Target="header17.xml"/><Relationship Id="rId49" Type="http://schemas.openxmlformats.org/officeDocument/2006/relationships/footer" Target="footer16.xml"/><Relationship Id="rId50" Type="http://schemas.openxmlformats.org/officeDocument/2006/relationships/footer" Target="footer17.xml"/><Relationship Id="rId51" Type="http://schemas.openxmlformats.org/officeDocument/2006/relationships/footnotes" Target="footnotes.xml"/><Relationship Id="rId52" Type="http://schemas.openxmlformats.org/officeDocument/2006/relationships/numbering" Target="numbering.xm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Relationship Id="rId5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6F002-A4A2-4A32-8A05-76E4872F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Application>AlterOffice/3.3.1.3$Linux_X86_64 LibreOffice_project/90d829a0d92d6015ad4fa014ce4f460a7fe6c0ba</Application>
  <AppVersion>15.0000</AppVersion>
  <Pages>73</Pages>
  <Words>19692</Words>
  <Characters>136884</Characters>
  <CharactersWithSpaces>153562</CharactersWithSpaces>
  <Paragraphs>1171</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2025-02-26T13:51:06Z</cp:lastPrinted>
  <dcterms:modified xsi:type="dcterms:W3CDTF">2025-03-06T13:48:55Z</dcterms:modified>
  <cp:revision>146</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